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50" w:rsidRPr="00506634" w:rsidRDefault="005866DD">
      <w:pPr>
        <w:rPr>
          <w:b/>
          <w:sz w:val="24"/>
          <w:szCs w:val="24"/>
          <w:u w:val="single"/>
        </w:rPr>
      </w:pPr>
      <w:r w:rsidRPr="00506634">
        <w:rPr>
          <w:b/>
          <w:sz w:val="24"/>
          <w:szCs w:val="24"/>
          <w:u w:val="single"/>
        </w:rPr>
        <w:t>Agenda Item 9 g) Recycled Street Furniture</w:t>
      </w:r>
    </w:p>
    <w:p w:rsidR="00A50711" w:rsidRPr="00506634" w:rsidRDefault="005866DD" w:rsidP="00265576">
      <w:pPr>
        <w:rPr>
          <w:sz w:val="24"/>
          <w:szCs w:val="24"/>
        </w:rPr>
      </w:pPr>
      <w:r w:rsidRPr="00506634">
        <w:rPr>
          <w:sz w:val="24"/>
          <w:szCs w:val="24"/>
        </w:rPr>
        <w:t xml:space="preserve">In December 2020 the Council successfully made an application to </w:t>
      </w:r>
      <w:r w:rsidR="00A50711" w:rsidRPr="00506634">
        <w:rPr>
          <w:sz w:val="24"/>
          <w:szCs w:val="24"/>
        </w:rPr>
        <w:t xml:space="preserve">County </w:t>
      </w:r>
      <w:r w:rsidRPr="00506634">
        <w:rPr>
          <w:sz w:val="24"/>
          <w:szCs w:val="24"/>
        </w:rPr>
        <w:t xml:space="preserve">Cllr Webber’s </w:t>
      </w:r>
      <w:r w:rsidR="00A50711" w:rsidRPr="00506634">
        <w:rPr>
          <w:sz w:val="24"/>
          <w:szCs w:val="24"/>
        </w:rPr>
        <w:t xml:space="preserve">Cllr Priority Fund. The total amount was for £3k ex VAT made up as follows: </w:t>
      </w:r>
    </w:p>
    <w:p w:rsidR="00A50711" w:rsidRPr="00506634" w:rsidRDefault="00A50711" w:rsidP="00265576">
      <w:pPr>
        <w:pStyle w:val="ListParagraph"/>
        <w:numPr>
          <w:ilvl w:val="0"/>
          <w:numId w:val="2"/>
        </w:numPr>
        <w:ind w:left="0" w:firstLine="0"/>
        <w:rPr>
          <w:sz w:val="24"/>
          <w:szCs w:val="24"/>
        </w:rPr>
      </w:pPr>
      <w:r w:rsidRPr="00506634">
        <w:rPr>
          <w:sz w:val="24"/>
          <w:szCs w:val="24"/>
        </w:rPr>
        <w:t>Plants, tools, bug houses, etc. for the Wildlife Group - £1,151.32</w:t>
      </w:r>
    </w:p>
    <w:p w:rsidR="002E477D" w:rsidRPr="00506634" w:rsidRDefault="002E477D" w:rsidP="00265576">
      <w:pPr>
        <w:pStyle w:val="ListParagraph"/>
        <w:numPr>
          <w:ilvl w:val="0"/>
          <w:numId w:val="2"/>
        </w:numPr>
        <w:ind w:left="0" w:firstLine="0"/>
        <w:rPr>
          <w:sz w:val="24"/>
          <w:szCs w:val="24"/>
        </w:rPr>
      </w:pPr>
      <w:r w:rsidRPr="00506634">
        <w:rPr>
          <w:sz w:val="24"/>
          <w:szCs w:val="24"/>
        </w:rPr>
        <w:t xml:space="preserve">Recycled plastic furniture comprising Dale benches and possibly Ipstone Planters to a total value of </w:t>
      </w:r>
      <w:r w:rsidRPr="001A2DD0">
        <w:rPr>
          <w:rFonts w:eastAsia="Times New Roman"/>
          <w:b/>
          <w:color w:val="222222"/>
          <w:sz w:val="24"/>
          <w:szCs w:val="24"/>
          <w:lang w:eastAsia="en-GB"/>
        </w:rPr>
        <w:t>£1,848.68</w:t>
      </w:r>
      <w:r w:rsidRPr="00506634">
        <w:rPr>
          <w:sz w:val="24"/>
          <w:szCs w:val="24"/>
        </w:rPr>
        <w:t xml:space="preserve"> from TDP Derbyshire  </w:t>
      </w:r>
      <w:hyperlink r:id="rId5" w:history="1">
        <w:r w:rsidRPr="00506634">
          <w:rPr>
            <w:rStyle w:val="Hyperlink"/>
            <w:rFonts w:eastAsia="Times New Roman"/>
            <w:sz w:val="24"/>
            <w:szCs w:val="24"/>
            <w:lang w:eastAsia="en-GB"/>
          </w:rPr>
          <w:t>https://www.tdp.co.uk/product-category/seats-and-benches/</w:t>
        </w:r>
      </w:hyperlink>
      <w:r w:rsidRPr="00506634">
        <w:rPr>
          <w:rFonts w:eastAsia="Times New Roman"/>
          <w:color w:val="222222"/>
          <w:sz w:val="24"/>
          <w:szCs w:val="24"/>
          <w:lang w:eastAsia="en-GB"/>
        </w:rPr>
        <w:t xml:space="preserve"> -</w:t>
      </w:r>
    </w:p>
    <w:p w:rsidR="002E477D" w:rsidRPr="00506634" w:rsidRDefault="002E477D" w:rsidP="00265576">
      <w:pPr>
        <w:pStyle w:val="ListParagraph"/>
        <w:ind w:left="0"/>
        <w:rPr>
          <w:sz w:val="24"/>
          <w:szCs w:val="24"/>
        </w:rPr>
      </w:pPr>
    </w:p>
    <w:p w:rsidR="00A50711" w:rsidRPr="00506634" w:rsidRDefault="002E477D" w:rsidP="00265576">
      <w:pPr>
        <w:pStyle w:val="ListParagraph"/>
        <w:ind w:left="0"/>
        <w:rPr>
          <w:sz w:val="24"/>
          <w:szCs w:val="24"/>
          <w:u w:val="single"/>
        </w:rPr>
      </w:pPr>
      <w:r w:rsidRPr="00506634">
        <w:rPr>
          <w:sz w:val="24"/>
          <w:szCs w:val="24"/>
          <w:u w:val="single"/>
        </w:rPr>
        <w:t>Options for B</w:t>
      </w:r>
      <w:r w:rsidR="00A50711" w:rsidRPr="00506634">
        <w:rPr>
          <w:sz w:val="24"/>
          <w:szCs w:val="24"/>
          <w:u w:val="single"/>
        </w:rPr>
        <w:t>rown ‘Dale’ recycled plastic benches</w:t>
      </w:r>
      <w:r w:rsidRPr="00506634">
        <w:rPr>
          <w:sz w:val="24"/>
          <w:szCs w:val="24"/>
          <w:u w:val="single"/>
        </w:rPr>
        <w:t>:</w:t>
      </w:r>
      <w:r w:rsidR="00A50711" w:rsidRPr="00506634">
        <w:rPr>
          <w:sz w:val="24"/>
          <w:szCs w:val="24"/>
          <w:u w:val="single"/>
        </w:rPr>
        <w:t xml:space="preserve"> </w:t>
      </w:r>
    </w:p>
    <w:p w:rsidR="002E477D" w:rsidRDefault="00B13CBC" w:rsidP="00265576">
      <w:pPr>
        <w:pStyle w:val="ListParagraph"/>
        <w:ind w:left="0"/>
        <w:rPr>
          <w:sz w:val="24"/>
          <w:szCs w:val="24"/>
        </w:rPr>
      </w:pPr>
      <w:r w:rsidRPr="00506634">
        <w:rPr>
          <w:sz w:val="24"/>
          <w:szCs w:val="24"/>
        </w:rPr>
        <w:t>The recycled plastic outdoor Dale bench</w:t>
      </w:r>
      <w:r w:rsidR="00506634">
        <w:rPr>
          <w:sz w:val="24"/>
          <w:szCs w:val="24"/>
        </w:rPr>
        <w:t xml:space="preserve"> is m</w:t>
      </w:r>
      <w:r w:rsidRPr="00506634">
        <w:rPr>
          <w:sz w:val="24"/>
          <w:szCs w:val="24"/>
        </w:rPr>
        <w:t>ade from 100% recycled plastic waste</w:t>
      </w:r>
      <w:r w:rsidR="002E477D" w:rsidRPr="00506634">
        <w:rPr>
          <w:sz w:val="24"/>
          <w:szCs w:val="24"/>
        </w:rPr>
        <w:t xml:space="preserve">. </w:t>
      </w:r>
      <w:r w:rsidRPr="00506634">
        <w:rPr>
          <w:sz w:val="24"/>
          <w:szCs w:val="24"/>
        </w:rPr>
        <w:t>Supplied fully assembled</w:t>
      </w:r>
      <w:r w:rsidR="002E477D" w:rsidRPr="00506634">
        <w:rPr>
          <w:sz w:val="24"/>
          <w:szCs w:val="24"/>
        </w:rPr>
        <w:t xml:space="preserve">. </w:t>
      </w:r>
    </w:p>
    <w:p w:rsidR="00506634" w:rsidRPr="00506634" w:rsidRDefault="00506634" w:rsidP="00265576">
      <w:pPr>
        <w:pStyle w:val="ListParagraph"/>
        <w:ind w:left="0"/>
        <w:rPr>
          <w:sz w:val="24"/>
          <w:szCs w:val="24"/>
        </w:rPr>
      </w:pPr>
    </w:p>
    <w:p w:rsidR="00B13CBC" w:rsidRPr="00506634" w:rsidRDefault="00B13CBC" w:rsidP="00265576">
      <w:pPr>
        <w:pStyle w:val="ListParagraph"/>
        <w:ind w:left="0"/>
        <w:rPr>
          <w:sz w:val="24"/>
          <w:szCs w:val="24"/>
        </w:rPr>
      </w:pPr>
      <w:r w:rsidRPr="00506634">
        <w:rPr>
          <w:sz w:val="24"/>
          <w:szCs w:val="24"/>
        </w:rPr>
        <w:t>Options</w:t>
      </w:r>
      <w:r w:rsidR="002E477D" w:rsidRPr="00506634">
        <w:rPr>
          <w:sz w:val="24"/>
          <w:szCs w:val="24"/>
        </w:rPr>
        <w:t>:</w:t>
      </w:r>
    </w:p>
    <w:p w:rsidR="002E477D" w:rsidRPr="00506634" w:rsidRDefault="00B13CBC" w:rsidP="00265576">
      <w:pPr>
        <w:pStyle w:val="ListParagraph"/>
        <w:ind w:left="0"/>
        <w:rPr>
          <w:sz w:val="24"/>
          <w:szCs w:val="24"/>
        </w:rPr>
      </w:pPr>
      <w:r w:rsidRPr="00506634">
        <w:rPr>
          <w:sz w:val="24"/>
          <w:szCs w:val="24"/>
        </w:rPr>
        <w:t>Length</w:t>
      </w:r>
      <w:r w:rsidR="002E477D" w:rsidRPr="00506634">
        <w:rPr>
          <w:sz w:val="24"/>
          <w:szCs w:val="24"/>
        </w:rPr>
        <w:t xml:space="preserve"> - </w:t>
      </w:r>
      <w:r w:rsidRPr="00506634">
        <w:rPr>
          <w:sz w:val="24"/>
          <w:szCs w:val="24"/>
        </w:rPr>
        <w:t>1200mm</w:t>
      </w:r>
      <w:r w:rsidR="002E477D" w:rsidRPr="00506634">
        <w:rPr>
          <w:sz w:val="24"/>
          <w:szCs w:val="24"/>
        </w:rPr>
        <w:t xml:space="preserve"> - </w:t>
      </w:r>
      <w:r w:rsidRPr="00506634">
        <w:rPr>
          <w:sz w:val="24"/>
          <w:szCs w:val="24"/>
        </w:rPr>
        <w:t>£384.74</w:t>
      </w:r>
      <w:r w:rsidR="002E477D" w:rsidRPr="00506634">
        <w:rPr>
          <w:sz w:val="24"/>
          <w:szCs w:val="24"/>
        </w:rPr>
        <w:t xml:space="preserve"> </w:t>
      </w:r>
      <w:r w:rsidRPr="00506634">
        <w:rPr>
          <w:sz w:val="24"/>
          <w:szCs w:val="24"/>
        </w:rPr>
        <w:t>Price shown includes VAT (Net amount is £320.62)</w:t>
      </w:r>
      <w:r w:rsidR="002E477D" w:rsidRPr="00506634">
        <w:rPr>
          <w:sz w:val="24"/>
          <w:szCs w:val="24"/>
        </w:rPr>
        <w:t>, or</w:t>
      </w:r>
    </w:p>
    <w:p w:rsidR="002E477D" w:rsidRPr="00506634" w:rsidRDefault="002E477D" w:rsidP="00265576">
      <w:pPr>
        <w:pStyle w:val="ListParagraph"/>
        <w:ind w:left="0"/>
        <w:rPr>
          <w:sz w:val="24"/>
          <w:szCs w:val="24"/>
        </w:rPr>
      </w:pPr>
      <w:r w:rsidRPr="00506634">
        <w:rPr>
          <w:sz w:val="24"/>
          <w:szCs w:val="24"/>
        </w:rPr>
        <w:t xml:space="preserve">Length - 1500mm - £449.17 Price shown includes VAT (Net amount is £374.31), or </w:t>
      </w:r>
    </w:p>
    <w:p w:rsidR="00B13CBC" w:rsidRPr="00506634" w:rsidRDefault="002E477D" w:rsidP="00265576">
      <w:pPr>
        <w:pStyle w:val="ListParagraph"/>
        <w:ind w:left="0"/>
        <w:rPr>
          <w:sz w:val="24"/>
          <w:szCs w:val="24"/>
        </w:rPr>
      </w:pPr>
      <w:r w:rsidRPr="00506634">
        <w:rPr>
          <w:sz w:val="24"/>
          <w:szCs w:val="24"/>
        </w:rPr>
        <w:t xml:space="preserve">Length - 1800mm - £542.28 Price shown includes VAT (Net amount is £451.90) </w:t>
      </w:r>
    </w:p>
    <w:p w:rsidR="00B13CBC" w:rsidRPr="00506634" w:rsidRDefault="00B13CBC" w:rsidP="00265576">
      <w:pPr>
        <w:pStyle w:val="ListParagraph"/>
        <w:ind w:left="0"/>
        <w:rPr>
          <w:sz w:val="24"/>
          <w:szCs w:val="24"/>
        </w:rPr>
      </w:pPr>
    </w:p>
    <w:p w:rsidR="00A50711" w:rsidRPr="00506634" w:rsidRDefault="00B13CBC" w:rsidP="00265576">
      <w:pPr>
        <w:pStyle w:val="ListParagraph"/>
        <w:ind w:left="0"/>
        <w:rPr>
          <w:sz w:val="24"/>
          <w:szCs w:val="24"/>
        </w:rPr>
      </w:pPr>
      <w:r w:rsidRPr="00506634">
        <w:rPr>
          <w:sz w:val="24"/>
          <w:szCs w:val="24"/>
        </w:rPr>
        <w:t>Estimated delivery date is 11/01/22</w:t>
      </w:r>
      <w:r w:rsidR="00A50711" w:rsidRPr="00506634">
        <w:rPr>
          <w:noProof/>
          <w:sz w:val="24"/>
          <w:szCs w:val="24"/>
          <w:lang w:eastAsia="en-GB"/>
        </w:rPr>
        <w:drawing>
          <wp:inline distT="0" distB="0" distL="0" distR="0" wp14:anchorId="1606EF62" wp14:editId="314F6BCD">
            <wp:extent cx="2857500" cy="2352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7500" cy="2352675"/>
                    </a:xfrm>
                    <a:prstGeom prst="rect">
                      <a:avLst/>
                    </a:prstGeom>
                  </pic:spPr>
                </pic:pic>
              </a:graphicData>
            </a:graphic>
          </wp:inline>
        </w:drawing>
      </w:r>
    </w:p>
    <w:p w:rsidR="00A74942" w:rsidRDefault="00A74942" w:rsidP="00A74942">
      <w:pPr>
        <w:rPr>
          <w:sz w:val="24"/>
          <w:szCs w:val="24"/>
        </w:rPr>
      </w:pPr>
      <w:r w:rsidRPr="00A74942">
        <w:rPr>
          <w:sz w:val="24"/>
          <w:szCs w:val="24"/>
        </w:rPr>
        <w:t>I recommend that the benches be fixed into the ground</w:t>
      </w:r>
      <w:r w:rsidR="00265576">
        <w:rPr>
          <w:sz w:val="24"/>
          <w:szCs w:val="24"/>
        </w:rPr>
        <w:t>.</w:t>
      </w:r>
    </w:p>
    <w:p w:rsidR="00A74942" w:rsidRPr="00265576" w:rsidRDefault="00A74942" w:rsidP="00A74942">
      <w:pPr>
        <w:rPr>
          <w:sz w:val="24"/>
          <w:szCs w:val="24"/>
          <w:u w:val="single"/>
        </w:rPr>
      </w:pPr>
      <w:r w:rsidRPr="00265576">
        <w:rPr>
          <w:sz w:val="24"/>
          <w:szCs w:val="24"/>
          <w:u w:val="single"/>
        </w:rPr>
        <w:t>Anchor Kits</w:t>
      </w:r>
    </w:p>
    <w:p w:rsidR="00A74942" w:rsidRDefault="00A74942" w:rsidP="00A74942">
      <w:pPr>
        <w:rPr>
          <w:sz w:val="24"/>
          <w:szCs w:val="24"/>
        </w:rPr>
      </w:pPr>
      <w:r>
        <w:rPr>
          <w:sz w:val="24"/>
          <w:szCs w:val="24"/>
        </w:rPr>
        <w:t>These a</w:t>
      </w:r>
      <w:r w:rsidR="00265576">
        <w:rPr>
          <w:sz w:val="24"/>
          <w:szCs w:val="24"/>
        </w:rPr>
        <w:t>re a</w:t>
      </w:r>
      <w:r>
        <w:rPr>
          <w:sz w:val="24"/>
          <w:szCs w:val="24"/>
        </w:rPr>
        <w:t>dd</w:t>
      </w:r>
      <w:r w:rsidR="00265576">
        <w:rPr>
          <w:sz w:val="24"/>
          <w:szCs w:val="24"/>
        </w:rPr>
        <w:t>ed</w:t>
      </w:r>
      <w:r>
        <w:rPr>
          <w:sz w:val="24"/>
          <w:szCs w:val="24"/>
        </w:rPr>
        <w:t xml:space="preserve"> security against theft</w:t>
      </w:r>
      <w:r w:rsidR="00265576">
        <w:rPr>
          <w:sz w:val="24"/>
          <w:szCs w:val="24"/>
        </w:rPr>
        <w:t xml:space="preserve"> and can be supplied with anti vandal screw options.</w:t>
      </w:r>
    </w:p>
    <w:p w:rsidR="00265576" w:rsidRDefault="00265576" w:rsidP="00A74942">
      <w:pPr>
        <w:rPr>
          <w:sz w:val="24"/>
          <w:szCs w:val="24"/>
        </w:rPr>
      </w:pPr>
      <w:r>
        <w:rPr>
          <w:sz w:val="24"/>
          <w:szCs w:val="24"/>
        </w:rPr>
        <w:t>Hard ground anchor kits - £25.70 each</w:t>
      </w:r>
    </w:p>
    <w:p w:rsidR="00A74942" w:rsidRDefault="00265576" w:rsidP="00A74942">
      <w:pPr>
        <w:rPr>
          <w:sz w:val="24"/>
          <w:szCs w:val="24"/>
        </w:rPr>
      </w:pPr>
      <w:r>
        <w:rPr>
          <w:sz w:val="24"/>
          <w:szCs w:val="24"/>
        </w:rPr>
        <w:t>Soft ground anchor kits - £75.20 each</w:t>
      </w:r>
    </w:p>
    <w:p w:rsidR="00A50711" w:rsidRDefault="00A50711" w:rsidP="00265576">
      <w:pPr>
        <w:pStyle w:val="ListParagraph"/>
        <w:ind w:left="0"/>
        <w:rPr>
          <w:sz w:val="24"/>
          <w:szCs w:val="24"/>
        </w:rPr>
      </w:pPr>
    </w:p>
    <w:p w:rsidR="001A2DD0" w:rsidRDefault="001A2DD0" w:rsidP="00265576">
      <w:pPr>
        <w:pStyle w:val="ListParagraph"/>
        <w:ind w:left="0"/>
        <w:rPr>
          <w:sz w:val="24"/>
          <w:szCs w:val="24"/>
        </w:rPr>
      </w:pPr>
    </w:p>
    <w:p w:rsidR="001A2DD0" w:rsidRPr="00506634" w:rsidRDefault="001A2DD0" w:rsidP="00265576">
      <w:pPr>
        <w:pStyle w:val="ListParagraph"/>
        <w:ind w:left="0"/>
        <w:rPr>
          <w:sz w:val="24"/>
          <w:szCs w:val="24"/>
        </w:rPr>
      </w:pPr>
    </w:p>
    <w:p w:rsidR="002E477D" w:rsidRPr="00506634" w:rsidRDefault="002E477D" w:rsidP="00265576">
      <w:pPr>
        <w:pStyle w:val="ListParagraph"/>
        <w:ind w:left="0"/>
        <w:rPr>
          <w:sz w:val="24"/>
          <w:szCs w:val="24"/>
        </w:rPr>
      </w:pPr>
      <w:r w:rsidRPr="00506634">
        <w:rPr>
          <w:sz w:val="24"/>
          <w:szCs w:val="24"/>
          <w:u w:val="single"/>
        </w:rPr>
        <w:lastRenderedPageBreak/>
        <w:t xml:space="preserve">The </w:t>
      </w:r>
      <w:r w:rsidR="00A50711" w:rsidRPr="00506634">
        <w:rPr>
          <w:sz w:val="24"/>
          <w:szCs w:val="24"/>
          <w:u w:val="single"/>
        </w:rPr>
        <w:t>Ipstone brown recycled plastic planters</w:t>
      </w:r>
      <w:r w:rsidR="00A50711" w:rsidRPr="00506634">
        <w:rPr>
          <w:sz w:val="24"/>
          <w:szCs w:val="24"/>
        </w:rPr>
        <w:t xml:space="preserve"> </w:t>
      </w:r>
    </w:p>
    <w:p w:rsidR="002E477D" w:rsidRPr="00506634" w:rsidRDefault="001A2DD0" w:rsidP="00265576">
      <w:pPr>
        <w:pStyle w:val="ListParagraph"/>
        <w:ind w:left="0"/>
        <w:rPr>
          <w:sz w:val="24"/>
          <w:szCs w:val="24"/>
        </w:rPr>
      </w:pPr>
      <w:r>
        <w:rPr>
          <w:sz w:val="24"/>
          <w:szCs w:val="24"/>
        </w:rPr>
        <w:t xml:space="preserve">The </w:t>
      </w:r>
      <w:r w:rsidR="002E477D" w:rsidRPr="00506634">
        <w:rPr>
          <w:sz w:val="24"/>
          <w:szCs w:val="24"/>
        </w:rPr>
        <w:t>Ipstone heavy duty recycled plastic planter</w:t>
      </w:r>
      <w:r>
        <w:rPr>
          <w:sz w:val="24"/>
          <w:szCs w:val="24"/>
        </w:rPr>
        <w:t xml:space="preserve">s are </w:t>
      </w:r>
      <w:r w:rsidR="002E477D" w:rsidRPr="00506634">
        <w:rPr>
          <w:sz w:val="24"/>
          <w:szCs w:val="24"/>
        </w:rPr>
        <w:t>supplied fully assembled</w:t>
      </w:r>
    </w:p>
    <w:p w:rsidR="002E477D" w:rsidRPr="00506634" w:rsidRDefault="002E477D" w:rsidP="00265576">
      <w:pPr>
        <w:pStyle w:val="ListParagraph"/>
        <w:ind w:left="0"/>
        <w:rPr>
          <w:sz w:val="24"/>
          <w:szCs w:val="24"/>
        </w:rPr>
      </w:pPr>
    </w:p>
    <w:p w:rsidR="002E477D" w:rsidRPr="00506634" w:rsidRDefault="002E477D" w:rsidP="00265576">
      <w:pPr>
        <w:pStyle w:val="ListParagraph"/>
        <w:ind w:left="0"/>
        <w:rPr>
          <w:sz w:val="24"/>
          <w:szCs w:val="24"/>
        </w:rPr>
      </w:pPr>
      <w:r w:rsidRPr="00506634">
        <w:rPr>
          <w:sz w:val="24"/>
          <w:szCs w:val="24"/>
        </w:rPr>
        <w:t>£255.86</w:t>
      </w:r>
    </w:p>
    <w:p w:rsidR="002E477D" w:rsidRPr="00506634" w:rsidRDefault="002E477D" w:rsidP="00265576">
      <w:pPr>
        <w:pStyle w:val="ListParagraph"/>
        <w:ind w:left="0"/>
        <w:rPr>
          <w:sz w:val="24"/>
          <w:szCs w:val="24"/>
        </w:rPr>
      </w:pPr>
      <w:r w:rsidRPr="00506634">
        <w:rPr>
          <w:sz w:val="24"/>
          <w:szCs w:val="24"/>
        </w:rPr>
        <w:t>Price shown includes VAT (Net amount is £213.22)</w:t>
      </w:r>
    </w:p>
    <w:p w:rsidR="00506634" w:rsidRPr="00506634" w:rsidRDefault="00506634" w:rsidP="002E477D">
      <w:pPr>
        <w:pStyle w:val="ListParagraph"/>
        <w:rPr>
          <w:sz w:val="24"/>
          <w:szCs w:val="24"/>
        </w:rPr>
      </w:pPr>
    </w:p>
    <w:p w:rsidR="00506634" w:rsidRPr="00506634" w:rsidRDefault="00506634" w:rsidP="002E477D">
      <w:pPr>
        <w:pStyle w:val="ListParagraph"/>
        <w:rPr>
          <w:sz w:val="24"/>
          <w:szCs w:val="24"/>
        </w:rPr>
      </w:pPr>
      <w:r w:rsidRPr="00506634">
        <w:rPr>
          <w:noProof/>
          <w:sz w:val="24"/>
          <w:szCs w:val="24"/>
          <w:lang w:eastAsia="en-GB"/>
        </w:rPr>
        <w:drawing>
          <wp:inline distT="0" distB="0" distL="0" distR="0" wp14:anchorId="716F37D7" wp14:editId="5384D29D">
            <wp:extent cx="2857500" cy="2352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7500" cy="2352675"/>
                    </a:xfrm>
                    <a:prstGeom prst="rect">
                      <a:avLst/>
                    </a:prstGeom>
                  </pic:spPr>
                </pic:pic>
              </a:graphicData>
            </a:graphic>
          </wp:inline>
        </w:drawing>
      </w:r>
    </w:p>
    <w:p w:rsidR="002E477D" w:rsidRPr="00506634" w:rsidRDefault="002E477D" w:rsidP="002E477D">
      <w:pPr>
        <w:pStyle w:val="ListParagraph"/>
        <w:rPr>
          <w:sz w:val="24"/>
          <w:szCs w:val="24"/>
        </w:rPr>
      </w:pPr>
    </w:p>
    <w:tbl>
      <w:tblPr>
        <w:tblW w:w="1539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29"/>
        <w:gridCol w:w="9862"/>
      </w:tblGrid>
      <w:tr w:rsidR="001A2DD0" w:rsidRPr="001A2DD0" w:rsidTr="001A2DD0">
        <w:trPr>
          <w:tblCellSpacing w:w="15" w:type="dxa"/>
        </w:trPr>
        <w:tc>
          <w:tcPr>
            <w:tcW w:w="5484" w:type="dxa"/>
            <w:tcBorders>
              <w:bottom w:val="single" w:sz="6" w:space="0" w:color="ECECEC"/>
            </w:tcBorders>
            <w:shd w:val="clear" w:color="auto" w:fill="FFFFFF"/>
            <w:tcMar>
              <w:top w:w="120" w:type="dxa"/>
              <w:left w:w="0" w:type="dxa"/>
              <w:bottom w:w="120" w:type="dxa"/>
              <w:right w:w="120" w:type="dxa"/>
            </w:tcMar>
            <w:vAlign w:val="center"/>
            <w:hideMark/>
          </w:tcPr>
          <w:p w:rsidR="001A2DD0" w:rsidRPr="001A2DD0" w:rsidRDefault="001A2DD0" w:rsidP="001A2DD0">
            <w:pPr>
              <w:spacing w:after="240" w:line="240" w:lineRule="auto"/>
              <w:ind w:right="239"/>
              <w:rPr>
                <w:rFonts w:eastAsia="Times New Roman" w:cs="Times New Roman"/>
                <w:b/>
                <w:bCs/>
                <w:caps/>
                <w:spacing w:val="12"/>
                <w:sz w:val="24"/>
                <w:szCs w:val="24"/>
                <w:lang w:eastAsia="en-GB"/>
              </w:rPr>
            </w:pPr>
            <w:r w:rsidRPr="001A2DD0">
              <w:rPr>
                <w:rFonts w:eastAsia="Times New Roman" w:cs="Times New Roman"/>
                <w:b/>
                <w:bCs/>
                <w:caps/>
                <w:spacing w:val="12"/>
                <w:sz w:val="24"/>
                <w:szCs w:val="24"/>
                <w:lang w:eastAsia="en-GB"/>
              </w:rPr>
              <w:t>WEIGHT</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1A2DD0" w:rsidRPr="001A2DD0" w:rsidRDefault="001A2DD0" w:rsidP="001A2DD0">
            <w:pPr>
              <w:spacing w:after="240" w:line="240" w:lineRule="auto"/>
              <w:ind w:right="239"/>
              <w:rPr>
                <w:rFonts w:eastAsia="Times New Roman" w:cs="Times New Roman"/>
                <w:sz w:val="24"/>
                <w:szCs w:val="24"/>
                <w:lang w:eastAsia="en-GB"/>
              </w:rPr>
            </w:pPr>
            <w:r w:rsidRPr="001A2DD0">
              <w:rPr>
                <w:rFonts w:eastAsia="Times New Roman" w:cs="Times New Roman"/>
                <w:sz w:val="24"/>
                <w:szCs w:val="24"/>
                <w:lang w:eastAsia="en-GB"/>
              </w:rPr>
              <w:t>29 kg</w:t>
            </w:r>
          </w:p>
        </w:tc>
      </w:tr>
      <w:tr w:rsidR="001A2DD0" w:rsidRPr="001A2DD0" w:rsidTr="001A2DD0">
        <w:trPr>
          <w:tblCellSpacing w:w="15" w:type="dxa"/>
        </w:trPr>
        <w:tc>
          <w:tcPr>
            <w:tcW w:w="5484" w:type="dxa"/>
            <w:tcBorders>
              <w:bottom w:val="single" w:sz="6" w:space="0" w:color="ECECEC"/>
            </w:tcBorders>
            <w:shd w:val="clear" w:color="auto" w:fill="FFFFFF"/>
            <w:tcMar>
              <w:top w:w="120" w:type="dxa"/>
              <w:left w:w="0" w:type="dxa"/>
              <w:bottom w:w="120" w:type="dxa"/>
              <w:right w:w="120" w:type="dxa"/>
            </w:tcMar>
            <w:vAlign w:val="center"/>
            <w:hideMark/>
          </w:tcPr>
          <w:p w:rsidR="001A2DD0" w:rsidRPr="001A2DD0" w:rsidRDefault="001A2DD0" w:rsidP="001A2DD0">
            <w:pPr>
              <w:spacing w:after="240" w:line="240" w:lineRule="auto"/>
              <w:ind w:right="239"/>
              <w:rPr>
                <w:rFonts w:eastAsia="Times New Roman" w:cs="Times New Roman"/>
                <w:b/>
                <w:bCs/>
                <w:caps/>
                <w:spacing w:val="12"/>
                <w:sz w:val="24"/>
                <w:szCs w:val="24"/>
                <w:lang w:eastAsia="en-GB"/>
              </w:rPr>
            </w:pPr>
            <w:r w:rsidRPr="001A2DD0">
              <w:rPr>
                <w:rFonts w:eastAsia="Times New Roman" w:cs="Times New Roman"/>
                <w:b/>
                <w:bCs/>
                <w:caps/>
                <w:spacing w:val="12"/>
                <w:sz w:val="24"/>
                <w:szCs w:val="24"/>
                <w:lang w:eastAsia="en-GB"/>
              </w:rPr>
              <w:t>DIMENSIONS</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1A2DD0" w:rsidRPr="001A2DD0" w:rsidRDefault="001A2DD0" w:rsidP="001A2DD0">
            <w:pPr>
              <w:spacing w:after="240" w:line="240" w:lineRule="auto"/>
              <w:ind w:right="239"/>
              <w:rPr>
                <w:rFonts w:eastAsia="Times New Roman" w:cs="Times New Roman"/>
                <w:sz w:val="24"/>
                <w:szCs w:val="24"/>
                <w:lang w:eastAsia="en-GB"/>
              </w:rPr>
            </w:pPr>
            <w:r w:rsidRPr="001A2DD0">
              <w:rPr>
                <w:rFonts w:eastAsia="Times New Roman" w:cs="Times New Roman"/>
                <w:sz w:val="24"/>
                <w:szCs w:val="24"/>
                <w:lang w:eastAsia="en-GB"/>
              </w:rPr>
              <w:t>L500 x W500 x H525 (mm)</w:t>
            </w:r>
          </w:p>
        </w:tc>
      </w:tr>
      <w:tr w:rsidR="001A2DD0" w:rsidRPr="001A2DD0" w:rsidTr="001A2DD0">
        <w:trPr>
          <w:tblCellSpacing w:w="15" w:type="dxa"/>
        </w:trPr>
        <w:tc>
          <w:tcPr>
            <w:tcW w:w="5484" w:type="dxa"/>
            <w:tcBorders>
              <w:bottom w:val="single" w:sz="6" w:space="0" w:color="ECECEC"/>
            </w:tcBorders>
            <w:shd w:val="clear" w:color="auto" w:fill="FFFFFF"/>
            <w:tcMar>
              <w:top w:w="120" w:type="dxa"/>
              <w:left w:w="0" w:type="dxa"/>
              <w:bottom w:w="120" w:type="dxa"/>
              <w:right w:w="120" w:type="dxa"/>
            </w:tcMar>
            <w:vAlign w:val="center"/>
            <w:hideMark/>
          </w:tcPr>
          <w:p w:rsidR="001A2DD0" w:rsidRPr="001A2DD0" w:rsidRDefault="001A2DD0" w:rsidP="001A2DD0">
            <w:pPr>
              <w:spacing w:after="240" w:line="240" w:lineRule="auto"/>
              <w:ind w:right="239"/>
              <w:rPr>
                <w:rFonts w:eastAsia="Times New Roman" w:cs="Times New Roman"/>
                <w:b/>
                <w:bCs/>
                <w:caps/>
                <w:spacing w:val="12"/>
                <w:sz w:val="24"/>
                <w:szCs w:val="24"/>
                <w:lang w:eastAsia="en-GB"/>
              </w:rPr>
            </w:pPr>
            <w:r w:rsidRPr="001A2DD0">
              <w:rPr>
                <w:rFonts w:eastAsia="Times New Roman" w:cs="Times New Roman"/>
                <w:b/>
                <w:bCs/>
                <w:caps/>
                <w:spacing w:val="12"/>
                <w:sz w:val="24"/>
                <w:szCs w:val="24"/>
                <w:lang w:eastAsia="en-GB"/>
              </w:rPr>
              <w:t>COLOUR OPTIONS</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1A2DD0" w:rsidRPr="001A2DD0" w:rsidRDefault="001A2DD0" w:rsidP="001A2DD0">
            <w:pPr>
              <w:spacing w:before="120" w:after="120" w:line="240" w:lineRule="auto"/>
              <w:ind w:right="239"/>
              <w:rPr>
                <w:rFonts w:eastAsia="Times New Roman" w:cs="Times New Roman"/>
                <w:sz w:val="24"/>
                <w:szCs w:val="24"/>
                <w:lang w:eastAsia="en-GB"/>
              </w:rPr>
            </w:pPr>
            <w:r w:rsidRPr="001A2DD0">
              <w:rPr>
                <w:rFonts w:eastAsia="Times New Roman" w:cs="Times New Roman"/>
                <w:sz w:val="24"/>
                <w:szCs w:val="24"/>
                <w:lang w:eastAsia="en-GB"/>
              </w:rPr>
              <w:t>Black, Brown</w:t>
            </w:r>
          </w:p>
        </w:tc>
      </w:tr>
      <w:tr w:rsidR="001A2DD0" w:rsidRPr="001A2DD0" w:rsidTr="001A2DD0">
        <w:trPr>
          <w:tblCellSpacing w:w="15" w:type="dxa"/>
        </w:trPr>
        <w:tc>
          <w:tcPr>
            <w:tcW w:w="5484" w:type="dxa"/>
            <w:tcBorders>
              <w:bottom w:val="single" w:sz="6" w:space="0" w:color="ECECEC"/>
            </w:tcBorders>
            <w:shd w:val="clear" w:color="auto" w:fill="FFFFFF"/>
            <w:tcMar>
              <w:top w:w="120" w:type="dxa"/>
              <w:left w:w="0" w:type="dxa"/>
              <w:bottom w:w="120" w:type="dxa"/>
              <w:right w:w="120" w:type="dxa"/>
            </w:tcMar>
            <w:vAlign w:val="center"/>
            <w:hideMark/>
          </w:tcPr>
          <w:p w:rsidR="001A2DD0" w:rsidRPr="001A2DD0" w:rsidRDefault="001A2DD0" w:rsidP="001A2DD0">
            <w:pPr>
              <w:spacing w:after="0" w:line="240" w:lineRule="auto"/>
              <w:ind w:right="239"/>
              <w:rPr>
                <w:rFonts w:eastAsia="Times New Roman" w:cs="Times New Roman"/>
                <w:b/>
                <w:bCs/>
                <w:caps/>
                <w:spacing w:val="12"/>
                <w:sz w:val="24"/>
                <w:szCs w:val="24"/>
                <w:lang w:eastAsia="en-GB"/>
              </w:rPr>
            </w:pPr>
            <w:r w:rsidRPr="001A2DD0">
              <w:rPr>
                <w:rFonts w:eastAsia="Times New Roman" w:cs="Times New Roman"/>
                <w:b/>
                <w:bCs/>
                <w:caps/>
                <w:spacing w:val="12"/>
                <w:sz w:val="24"/>
                <w:szCs w:val="24"/>
                <w:lang w:eastAsia="en-GB"/>
              </w:rPr>
              <w:t>WEIGHT</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1A2DD0" w:rsidRPr="001A2DD0" w:rsidRDefault="001A2DD0" w:rsidP="001A2DD0">
            <w:pPr>
              <w:spacing w:before="120" w:after="120" w:line="240" w:lineRule="auto"/>
              <w:ind w:right="239"/>
              <w:rPr>
                <w:rFonts w:eastAsia="Times New Roman" w:cs="Times New Roman"/>
                <w:sz w:val="24"/>
                <w:szCs w:val="24"/>
                <w:lang w:eastAsia="en-GB"/>
              </w:rPr>
            </w:pPr>
            <w:r w:rsidRPr="001A2DD0">
              <w:rPr>
                <w:rFonts w:eastAsia="Times New Roman" w:cs="Times New Roman"/>
                <w:sz w:val="24"/>
                <w:szCs w:val="24"/>
                <w:lang w:eastAsia="en-GB"/>
              </w:rPr>
              <w:t>29kg</w:t>
            </w:r>
          </w:p>
        </w:tc>
      </w:tr>
      <w:tr w:rsidR="001A2DD0" w:rsidRPr="001A2DD0" w:rsidTr="001A2DD0">
        <w:trPr>
          <w:tblCellSpacing w:w="15" w:type="dxa"/>
        </w:trPr>
        <w:tc>
          <w:tcPr>
            <w:tcW w:w="5484" w:type="dxa"/>
            <w:tcBorders>
              <w:bottom w:val="single" w:sz="6" w:space="0" w:color="ECECEC"/>
            </w:tcBorders>
            <w:shd w:val="clear" w:color="auto" w:fill="FFFFFF"/>
            <w:tcMar>
              <w:top w:w="120" w:type="dxa"/>
              <w:left w:w="0" w:type="dxa"/>
              <w:bottom w:w="120" w:type="dxa"/>
              <w:right w:w="120" w:type="dxa"/>
            </w:tcMar>
            <w:vAlign w:val="center"/>
            <w:hideMark/>
          </w:tcPr>
          <w:p w:rsidR="001A2DD0" w:rsidRPr="001A2DD0" w:rsidRDefault="001A2DD0" w:rsidP="001A2DD0">
            <w:pPr>
              <w:spacing w:after="0" w:line="240" w:lineRule="auto"/>
              <w:ind w:right="239"/>
              <w:rPr>
                <w:rFonts w:eastAsia="Times New Roman" w:cs="Times New Roman"/>
                <w:b/>
                <w:bCs/>
                <w:caps/>
                <w:spacing w:val="12"/>
                <w:sz w:val="24"/>
                <w:szCs w:val="24"/>
                <w:lang w:eastAsia="en-GB"/>
              </w:rPr>
            </w:pPr>
            <w:r w:rsidRPr="001A2DD0">
              <w:rPr>
                <w:rFonts w:eastAsia="Times New Roman" w:cs="Times New Roman"/>
                <w:b/>
                <w:bCs/>
                <w:caps/>
                <w:spacing w:val="12"/>
                <w:sz w:val="24"/>
                <w:szCs w:val="24"/>
                <w:lang w:eastAsia="en-GB"/>
              </w:rPr>
              <w:t>HEIGHT</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1A2DD0" w:rsidRPr="001A2DD0" w:rsidRDefault="001A2DD0" w:rsidP="001A2DD0">
            <w:pPr>
              <w:spacing w:before="120" w:after="120" w:line="240" w:lineRule="auto"/>
              <w:ind w:right="239"/>
              <w:rPr>
                <w:rFonts w:eastAsia="Times New Roman" w:cs="Times New Roman"/>
                <w:sz w:val="24"/>
                <w:szCs w:val="24"/>
                <w:lang w:eastAsia="en-GB"/>
              </w:rPr>
            </w:pPr>
            <w:r w:rsidRPr="001A2DD0">
              <w:rPr>
                <w:rFonts w:eastAsia="Times New Roman" w:cs="Times New Roman"/>
                <w:sz w:val="24"/>
                <w:szCs w:val="24"/>
                <w:lang w:eastAsia="en-GB"/>
              </w:rPr>
              <w:t>525mm</w:t>
            </w:r>
          </w:p>
        </w:tc>
      </w:tr>
      <w:tr w:rsidR="001A2DD0" w:rsidRPr="001A2DD0" w:rsidTr="001A2DD0">
        <w:trPr>
          <w:tblCellSpacing w:w="15" w:type="dxa"/>
        </w:trPr>
        <w:tc>
          <w:tcPr>
            <w:tcW w:w="5484" w:type="dxa"/>
            <w:tcBorders>
              <w:bottom w:val="single" w:sz="6" w:space="0" w:color="ECECEC"/>
            </w:tcBorders>
            <w:shd w:val="clear" w:color="auto" w:fill="FFFFFF"/>
            <w:tcMar>
              <w:top w:w="120" w:type="dxa"/>
              <w:left w:w="0" w:type="dxa"/>
              <w:bottom w:w="120" w:type="dxa"/>
              <w:right w:w="120" w:type="dxa"/>
            </w:tcMar>
            <w:vAlign w:val="center"/>
            <w:hideMark/>
          </w:tcPr>
          <w:p w:rsidR="001A2DD0" w:rsidRPr="001A2DD0" w:rsidRDefault="001A2DD0" w:rsidP="001A2DD0">
            <w:pPr>
              <w:spacing w:after="0" w:line="240" w:lineRule="auto"/>
              <w:ind w:right="239"/>
              <w:rPr>
                <w:rFonts w:eastAsia="Times New Roman" w:cs="Times New Roman"/>
                <w:b/>
                <w:bCs/>
                <w:caps/>
                <w:spacing w:val="12"/>
                <w:sz w:val="24"/>
                <w:szCs w:val="24"/>
                <w:lang w:eastAsia="en-GB"/>
              </w:rPr>
            </w:pPr>
            <w:r w:rsidRPr="001A2DD0">
              <w:rPr>
                <w:rFonts w:eastAsia="Times New Roman" w:cs="Times New Roman"/>
                <w:b/>
                <w:bCs/>
                <w:caps/>
                <w:spacing w:val="12"/>
                <w:sz w:val="24"/>
                <w:szCs w:val="24"/>
                <w:lang w:eastAsia="en-GB"/>
              </w:rPr>
              <w:t>WIDTH</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1A2DD0" w:rsidRPr="001A2DD0" w:rsidRDefault="001A2DD0" w:rsidP="001A2DD0">
            <w:pPr>
              <w:spacing w:before="120" w:after="120" w:line="240" w:lineRule="auto"/>
              <w:ind w:right="239"/>
              <w:rPr>
                <w:rFonts w:eastAsia="Times New Roman" w:cs="Times New Roman"/>
                <w:sz w:val="24"/>
                <w:szCs w:val="24"/>
                <w:lang w:eastAsia="en-GB"/>
              </w:rPr>
            </w:pPr>
            <w:r w:rsidRPr="001A2DD0">
              <w:rPr>
                <w:rFonts w:eastAsia="Times New Roman" w:cs="Times New Roman"/>
                <w:sz w:val="24"/>
                <w:szCs w:val="24"/>
                <w:lang w:eastAsia="en-GB"/>
              </w:rPr>
              <w:t>500mm</w:t>
            </w:r>
          </w:p>
        </w:tc>
      </w:tr>
      <w:tr w:rsidR="001A2DD0" w:rsidRPr="001A2DD0" w:rsidTr="001A2DD0">
        <w:trPr>
          <w:tblCellSpacing w:w="15" w:type="dxa"/>
        </w:trPr>
        <w:tc>
          <w:tcPr>
            <w:tcW w:w="5484" w:type="dxa"/>
            <w:tcBorders>
              <w:bottom w:val="single" w:sz="6" w:space="0" w:color="ECECEC"/>
            </w:tcBorders>
            <w:shd w:val="clear" w:color="auto" w:fill="FFFFFF"/>
            <w:tcMar>
              <w:top w:w="120" w:type="dxa"/>
              <w:left w:w="0" w:type="dxa"/>
              <w:bottom w:w="120" w:type="dxa"/>
              <w:right w:w="120" w:type="dxa"/>
            </w:tcMar>
            <w:vAlign w:val="center"/>
            <w:hideMark/>
          </w:tcPr>
          <w:p w:rsidR="001A2DD0" w:rsidRPr="001A2DD0" w:rsidRDefault="001A2DD0" w:rsidP="001A2DD0">
            <w:pPr>
              <w:spacing w:after="0" w:line="240" w:lineRule="auto"/>
              <w:ind w:right="239"/>
              <w:rPr>
                <w:rFonts w:eastAsia="Times New Roman" w:cs="Times New Roman"/>
                <w:b/>
                <w:bCs/>
                <w:caps/>
                <w:spacing w:val="12"/>
                <w:sz w:val="24"/>
                <w:szCs w:val="24"/>
                <w:lang w:eastAsia="en-GB"/>
              </w:rPr>
            </w:pPr>
            <w:r w:rsidRPr="001A2DD0">
              <w:rPr>
                <w:rFonts w:eastAsia="Times New Roman" w:cs="Times New Roman"/>
                <w:b/>
                <w:bCs/>
                <w:caps/>
                <w:spacing w:val="12"/>
                <w:sz w:val="24"/>
                <w:szCs w:val="24"/>
                <w:lang w:eastAsia="en-GB"/>
              </w:rPr>
              <w:t>DEPTH</w:t>
            </w:r>
          </w:p>
        </w:tc>
        <w:tc>
          <w:tcPr>
            <w:tcW w:w="0" w:type="auto"/>
            <w:tcBorders>
              <w:bottom w:val="single" w:sz="6" w:space="0" w:color="ECECEC"/>
            </w:tcBorders>
            <w:shd w:val="clear" w:color="auto" w:fill="FFFFFF"/>
            <w:tcMar>
              <w:top w:w="120" w:type="dxa"/>
              <w:left w:w="120" w:type="dxa"/>
              <w:bottom w:w="120" w:type="dxa"/>
              <w:right w:w="0" w:type="dxa"/>
            </w:tcMar>
            <w:vAlign w:val="center"/>
            <w:hideMark/>
          </w:tcPr>
          <w:p w:rsidR="001A2DD0" w:rsidRPr="001A2DD0" w:rsidRDefault="001A2DD0" w:rsidP="001A2DD0">
            <w:pPr>
              <w:spacing w:before="120" w:after="120" w:line="240" w:lineRule="auto"/>
              <w:ind w:right="239"/>
              <w:rPr>
                <w:rFonts w:eastAsia="Times New Roman" w:cs="Times New Roman"/>
                <w:sz w:val="24"/>
                <w:szCs w:val="24"/>
                <w:lang w:eastAsia="en-GB"/>
              </w:rPr>
            </w:pPr>
            <w:r w:rsidRPr="001A2DD0">
              <w:rPr>
                <w:rFonts w:eastAsia="Times New Roman" w:cs="Times New Roman"/>
                <w:sz w:val="24"/>
                <w:szCs w:val="24"/>
                <w:lang w:eastAsia="en-GB"/>
              </w:rPr>
              <w:t>500mm</w:t>
            </w:r>
          </w:p>
        </w:tc>
      </w:tr>
    </w:tbl>
    <w:p w:rsidR="001A2DD0" w:rsidRDefault="001A2DD0" w:rsidP="002E477D">
      <w:pPr>
        <w:pStyle w:val="ListParagraph"/>
        <w:rPr>
          <w:sz w:val="24"/>
          <w:szCs w:val="24"/>
        </w:rPr>
      </w:pPr>
    </w:p>
    <w:p w:rsidR="001A2DD0" w:rsidRDefault="001A2DD0" w:rsidP="002E477D">
      <w:pPr>
        <w:pStyle w:val="ListParagraph"/>
        <w:rPr>
          <w:sz w:val="24"/>
          <w:szCs w:val="24"/>
        </w:rPr>
      </w:pPr>
    </w:p>
    <w:p w:rsidR="005866DD" w:rsidRPr="001A2DD0" w:rsidRDefault="002E477D" w:rsidP="001A2DD0">
      <w:pPr>
        <w:rPr>
          <w:sz w:val="24"/>
          <w:szCs w:val="24"/>
        </w:rPr>
      </w:pPr>
      <w:r w:rsidRPr="001A2DD0">
        <w:rPr>
          <w:sz w:val="24"/>
          <w:szCs w:val="24"/>
        </w:rPr>
        <w:t>Estimated delivery date is 11/01/22</w:t>
      </w:r>
      <w:r w:rsidR="00A50711" w:rsidRPr="001A2DD0">
        <w:rPr>
          <w:sz w:val="24"/>
          <w:szCs w:val="24"/>
        </w:rPr>
        <w:t xml:space="preserve"> </w:t>
      </w:r>
    </w:p>
    <w:p w:rsidR="00A50711" w:rsidRDefault="00A74942" w:rsidP="00A50711">
      <w:pPr>
        <w:rPr>
          <w:sz w:val="24"/>
          <w:szCs w:val="24"/>
        </w:rPr>
      </w:pPr>
      <w:r>
        <w:rPr>
          <w:sz w:val="24"/>
          <w:szCs w:val="24"/>
        </w:rPr>
        <w:t>Delivery would be free.</w:t>
      </w:r>
    </w:p>
    <w:p w:rsidR="004D6F49" w:rsidRPr="004D6F49" w:rsidRDefault="004D6F49" w:rsidP="00A50711">
      <w:pPr>
        <w:rPr>
          <w:rFonts w:ascii="Calibri" w:hAnsi="Calibri"/>
          <w:sz w:val="24"/>
          <w:szCs w:val="24"/>
        </w:rPr>
      </w:pPr>
      <w:r>
        <w:rPr>
          <w:sz w:val="24"/>
          <w:szCs w:val="24"/>
        </w:rPr>
        <w:t>Cllr McAleavey called the company to check some technical details and he subsequently reported the following:</w:t>
      </w:r>
    </w:p>
    <w:p w:rsidR="004D6F49" w:rsidRPr="004D6F49" w:rsidRDefault="004D6F49" w:rsidP="004D6F49">
      <w:pPr>
        <w:pStyle w:val="NormalWeb"/>
        <w:spacing w:before="0" w:beforeAutospacing="0" w:after="0" w:afterAutospacing="0"/>
        <w:rPr>
          <w:rFonts w:ascii="Calibri" w:hAnsi="Calibri" w:cs="Arial"/>
        </w:rPr>
      </w:pPr>
      <w:r w:rsidRPr="004D6F49">
        <w:rPr>
          <w:rFonts w:ascii="Calibri" w:hAnsi="Calibri" w:cs="Arial"/>
        </w:rPr>
        <w:t>‘TDP are a family-run business in rural Derbyshire and their small workforce manufactures very good products with very competitive sales prices…….</w:t>
      </w:r>
      <w:r w:rsidRPr="004D6F49">
        <w:rPr>
          <w:rFonts w:ascii="Calibri" w:hAnsi="Calibri" w:cs="Arial"/>
        </w:rPr>
        <w:br/>
        <w:t>Supplies from their raw materials manufacturers have been subject to price increases during the year and TDP have recently been notified of further increases at the end of 2021…….</w:t>
      </w:r>
      <w:r w:rsidRPr="004D6F49">
        <w:rPr>
          <w:rFonts w:ascii="Calibri" w:hAnsi="Calibri" w:cs="Arial"/>
        </w:rPr>
        <w:br/>
        <w:t>Given an order of the size that we were considering, they would offer us a 5% discount.</w:t>
      </w:r>
      <w:r w:rsidRPr="004D6F49">
        <w:rPr>
          <w:rFonts w:ascii="Calibri" w:hAnsi="Calibri" w:cs="Arial"/>
        </w:rPr>
        <w:br/>
        <w:t>However, as the numbers stand, we would still be over budget.</w:t>
      </w:r>
      <w:r w:rsidRPr="004D6F49">
        <w:rPr>
          <w:rFonts w:ascii="Calibri" w:hAnsi="Calibri" w:cs="Arial"/>
        </w:rPr>
        <w:br/>
        <w:t>If we can 'subsidise' the purchases to cover the price increases (terms &amp; conditions of the grant permitting) we could just go ahead and confirm the order.</w:t>
      </w:r>
      <w:r w:rsidRPr="004D6F49">
        <w:rPr>
          <w:rFonts w:ascii="Calibri" w:hAnsi="Calibri" w:cs="Arial"/>
        </w:rPr>
        <w:br/>
        <w:t>The value of the 2020 quotation was £1848.68 so still scope for different combinations if we have to stick to that figure.</w:t>
      </w:r>
      <w:r w:rsidRPr="004D6F49">
        <w:rPr>
          <w:rFonts w:ascii="Calibri" w:hAnsi="Calibri" w:cs="Arial"/>
        </w:rPr>
        <w:br/>
        <w:t>However, I would like us to consider other options.</w:t>
      </w:r>
      <w:r w:rsidRPr="004D6F49">
        <w:rPr>
          <w:rFonts w:ascii="Calibri" w:hAnsi="Calibri" w:cs="Arial"/>
        </w:rPr>
        <w:br/>
        <w:t>The 1200mm benches are a 1+1 person size and, even under non-covid social distancing, may be less popular with, say, single individual users.</w:t>
      </w:r>
      <w:r w:rsidRPr="004D6F49">
        <w:rPr>
          <w:rFonts w:ascii="Calibri" w:hAnsi="Calibri" w:cs="Arial"/>
        </w:rPr>
        <w:br/>
        <w:t>The 1500mm versions would be 1+1+1 person size, comfortable for 1s or 2s or 3s.</w:t>
      </w:r>
      <w:r w:rsidRPr="004D6F49">
        <w:rPr>
          <w:rFonts w:ascii="Calibri" w:hAnsi="Calibri" w:cs="Arial"/>
        </w:rPr>
        <w:br/>
        <w:t>Of course, switching to 1500mm would further increase the overall cost, but if we cannot increase the budget, an adjustment to the numbers of both benches and planters would help get around that.’</w:t>
      </w:r>
    </w:p>
    <w:p w:rsidR="00CD1140" w:rsidRDefault="00CD1140" w:rsidP="00A50711">
      <w:pPr>
        <w:rPr>
          <w:rFonts w:ascii="Calibri" w:hAnsi="Calibri"/>
          <w:sz w:val="24"/>
          <w:szCs w:val="24"/>
        </w:rPr>
      </w:pPr>
    </w:p>
    <w:p w:rsidR="00CD1140" w:rsidRPr="00CD1140" w:rsidRDefault="00CD1140" w:rsidP="00A50711">
      <w:pPr>
        <w:rPr>
          <w:rFonts w:ascii="Calibri" w:hAnsi="Calibri"/>
          <w:b/>
          <w:sz w:val="24"/>
          <w:szCs w:val="24"/>
          <w:u w:val="single"/>
        </w:rPr>
      </w:pPr>
      <w:r w:rsidRPr="00CD1140">
        <w:rPr>
          <w:rFonts w:ascii="Calibri" w:hAnsi="Calibri"/>
          <w:b/>
          <w:sz w:val="24"/>
          <w:szCs w:val="24"/>
          <w:u w:val="single"/>
        </w:rPr>
        <w:t>Recommendation:</w:t>
      </w:r>
    </w:p>
    <w:p w:rsidR="00CD1140" w:rsidRDefault="00CD1140" w:rsidP="00A50711">
      <w:pPr>
        <w:rPr>
          <w:rFonts w:ascii="Calibri" w:hAnsi="Calibri"/>
          <w:sz w:val="24"/>
          <w:szCs w:val="24"/>
        </w:rPr>
      </w:pPr>
      <w:r>
        <w:rPr>
          <w:rFonts w:ascii="Calibri" w:hAnsi="Calibri"/>
          <w:sz w:val="24"/>
          <w:szCs w:val="24"/>
        </w:rPr>
        <w:t>That the PC buys:</w:t>
      </w:r>
    </w:p>
    <w:p w:rsidR="004D6F49" w:rsidRDefault="004D6F49" w:rsidP="00A50711">
      <w:pPr>
        <w:rPr>
          <w:rFonts w:ascii="Calibri" w:hAnsi="Calibri"/>
          <w:sz w:val="24"/>
          <w:szCs w:val="24"/>
        </w:rPr>
      </w:pPr>
      <w:r>
        <w:rPr>
          <w:rFonts w:ascii="Calibri" w:hAnsi="Calibri"/>
          <w:sz w:val="24"/>
          <w:szCs w:val="24"/>
        </w:rPr>
        <w:t xml:space="preserve">2 </w:t>
      </w:r>
      <w:r w:rsidR="00CD1140">
        <w:rPr>
          <w:rFonts w:ascii="Calibri" w:hAnsi="Calibri"/>
          <w:sz w:val="24"/>
          <w:szCs w:val="24"/>
        </w:rPr>
        <w:t xml:space="preserve">x </w:t>
      </w:r>
      <w:r>
        <w:rPr>
          <w:rFonts w:ascii="Calibri" w:hAnsi="Calibri"/>
          <w:sz w:val="24"/>
          <w:szCs w:val="24"/>
        </w:rPr>
        <w:t>Ipstone planters = total cost £426.44</w:t>
      </w:r>
      <w:r w:rsidR="00CD1140">
        <w:rPr>
          <w:rFonts w:ascii="Calibri" w:hAnsi="Calibri"/>
          <w:sz w:val="24"/>
          <w:szCs w:val="24"/>
        </w:rPr>
        <w:t xml:space="preserve">  </w:t>
      </w:r>
    </w:p>
    <w:p w:rsidR="004D6F49" w:rsidRDefault="00CD1140" w:rsidP="00A50711">
      <w:pPr>
        <w:rPr>
          <w:rFonts w:ascii="Calibri" w:hAnsi="Calibri"/>
          <w:sz w:val="24"/>
          <w:szCs w:val="24"/>
        </w:rPr>
      </w:pPr>
      <w:r>
        <w:rPr>
          <w:rFonts w:ascii="Calibri" w:hAnsi="Calibri"/>
          <w:sz w:val="24"/>
          <w:szCs w:val="24"/>
        </w:rPr>
        <w:t>4 x Dale benches s</w:t>
      </w:r>
      <w:r w:rsidR="004D6F49">
        <w:rPr>
          <w:rFonts w:ascii="Calibri" w:hAnsi="Calibri"/>
          <w:sz w:val="24"/>
          <w:szCs w:val="24"/>
        </w:rPr>
        <w:t>ized 1500 = total cost £</w:t>
      </w:r>
      <w:r>
        <w:rPr>
          <w:rFonts w:ascii="Calibri" w:hAnsi="Calibri"/>
          <w:sz w:val="24"/>
          <w:szCs w:val="24"/>
        </w:rPr>
        <w:t>1,497.24</w:t>
      </w:r>
    </w:p>
    <w:p w:rsidR="00CD1140" w:rsidRDefault="00CD1140" w:rsidP="00A50711">
      <w:pPr>
        <w:rPr>
          <w:rFonts w:ascii="Calibri" w:hAnsi="Calibri"/>
          <w:sz w:val="24"/>
          <w:szCs w:val="24"/>
        </w:rPr>
      </w:pPr>
      <w:r>
        <w:rPr>
          <w:rFonts w:ascii="Calibri" w:hAnsi="Calibri"/>
          <w:sz w:val="24"/>
          <w:szCs w:val="24"/>
        </w:rPr>
        <w:t>4 x fixings for soft ground = total cost £300.80</w:t>
      </w:r>
    </w:p>
    <w:p w:rsidR="00CD1140" w:rsidRPr="00CD1140" w:rsidRDefault="00CD1140" w:rsidP="00A50711">
      <w:pPr>
        <w:rPr>
          <w:rFonts w:ascii="Calibri" w:hAnsi="Calibri"/>
          <w:b/>
          <w:sz w:val="24"/>
          <w:szCs w:val="24"/>
        </w:rPr>
      </w:pPr>
      <w:r w:rsidRPr="00CD1140">
        <w:rPr>
          <w:rFonts w:ascii="Calibri" w:hAnsi="Calibri"/>
          <w:b/>
          <w:sz w:val="24"/>
          <w:szCs w:val="24"/>
        </w:rPr>
        <w:t>Total Cost: £2,224.48</w:t>
      </w:r>
      <w:r>
        <w:rPr>
          <w:rFonts w:ascii="Calibri" w:hAnsi="Calibri"/>
          <w:b/>
          <w:sz w:val="24"/>
          <w:szCs w:val="24"/>
        </w:rPr>
        <w:t xml:space="preserve"> less 5% (£111.224) = £2</w:t>
      </w:r>
      <w:r w:rsidR="00D154EE">
        <w:rPr>
          <w:rFonts w:ascii="Calibri" w:hAnsi="Calibri"/>
          <w:b/>
          <w:sz w:val="24"/>
          <w:szCs w:val="24"/>
        </w:rPr>
        <w:t>,</w:t>
      </w:r>
      <w:r>
        <w:rPr>
          <w:rFonts w:ascii="Calibri" w:hAnsi="Calibri"/>
          <w:b/>
          <w:sz w:val="24"/>
          <w:szCs w:val="24"/>
        </w:rPr>
        <w:t>113.26</w:t>
      </w:r>
    </w:p>
    <w:p w:rsidR="00CD1140" w:rsidRDefault="00CD1140" w:rsidP="00A50711">
      <w:pPr>
        <w:rPr>
          <w:rFonts w:ascii="Calibri" w:hAnsi="Calibri"/>
          <w:sz w:val="24"/>
          <w:szCs w:val="24"/>
        </w:rPr>
      </w:pPr>
      <w:r>
        <w:rPr>
          <w:rFonts w:ascii="Calibri" w:hAnsi="Calibri"/>
          <w:sz w:val="24"/>
          <w:szCs w:val="24"/>
        </w:rPr>
        <w:t>Funded as follows:</w:t>
      </w:r>
    </w:p>
    <w:p w:rsidR="00D154EE" w:rsidRDefault="00D154EE" w:rsidP="00A50711">
      <w:pPr>
        <w:rPr>
          <w:rFonts w:ascii="Calibri" w:hAnsi="Calibri"/>
          <w:sz w:val="24"/>
          <w:szCs w:val="24"/>
        </w:rPr>
      </w:pPr>
      <w:r>
        <w:rPr>
          <w:rFonts w:ascii="Calibri" w:hAnsi="Calibri"/>
          <w:sz w:val="24"/>
          <w:szCs w:val="24"/>
        </w:rPr>
        <w:t>Cllr Community grant £1,848.68 (Planters and benches)</w:t>
      </w:r>
    </w:p>
    <w:p w:rsidR="00D154EE" w:rsidRDefault="00D154EE" w:rsidP="00A50711">
      <w:pPr>
        <w:rPr>
          <w:rFonts w:ascii="Calibri" w:hAnsi="Calibri"/>
          <w:sz w:val="24"/>
          <w:szCs w:val="24"/>
        </w:rPr>
      </w:pPr>
      <w:r>
        <w:rPr>
          <w:rFonts w:ascii="Calibri" w:hAnsi="Calibri"/>
          <w:sz w:val="24"/>
          <w:szCs w:val="24"/>
        </w:rPr>
        <w:t>PC funds £264.58 (anti theft-fixings for the benches.</w:t>
      </w:r>
    </w:p>
    <w:p w:rsidR="00CD1140" w:rsidRPr="004D6F49" w:rsidRDefault="00CD1140" w:rsidP="00A50711">
      <w:pPr>
        <w:rPr>
          <w:rFonts w:ascii="Calibri" w:hAnsi="Calibri"/>
          <w:sz w:val="24"/>
          <w:szCs w:val="24"/>
        </w:rPr>
      </w:pPr>
    </w:p>
    <w:p w:rsidR="004D6F49" w:rsidRDefault="00D154EE" w:rsidP="00A50711">
      <w:pPr>
        <w:rPr>
          <w:rFonts w:ascii="Calibri" w:hAnsi="Calibri"/>
          <w:sz w:val="24"/>
          <w:szCs w:val="24"/>
        </w:rPr>
      </w:pPr>
      <w:r>
        <w:rPr>
          <w:rFonts w:ascii="Calibri" w:hAnsi="Calibri"/>
          <w:sz w:val="24"/>
          <w:szCs w:val="24"/>
        </w:rPr>
        <w:t>LMW</w:t>
      </w:r>
    </w:p>
    <w:p w:rsidR="00D154EE" w:rsidRPr="004D6F49" w:rsidRDefault="00D154EE" w:rsidP="00A50711">
      <w:pPr>
        <w:rPr>
          <w:rFonts w:ascii="Calibri" w:hAnsi="Calibri"/>
          <w:sz w:val="24"/>
          <w:szCs w:val="24"/>
        </w:rPr>
      </w:pPr>
      <w:r>
        <w:rPr>
          <w:rFonts w:ascii="Calibri" w:hAnsi="Calibri"/>
          <w:sz w:val="24"/>
          <w:szCs w:val="24"/>
        </w:rPr>
        <w:t>08/11/2021</w:t>
      </w:r>
      <w:bookmarkStart w:id="0" w:name="_GoBack"/>
      <w:bookmarkEnd w:id="0"/>
    </w:p>
    <w:sectPr w:rsidR="00D154EE" w:rsidRPr="004D6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5385"/>
    <w:multiLevelType w:val="hybridMultilevel"/>
    <w:tmpl w:val="8DA8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261352"/>
    <w:multiLevelType w:val="multilevel"/>
    <w:tmpl w:val="E3B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11FB6"/>
    <w:multiLevelType w:val="hybridMultilevel"/>
    <w:tmpl w:val="BF12A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DD"/>
    <w:rsid w:val="001A2DD0"/>
    <w:rsid w:val="00265576"/>
    <w:rsid w:val="002E477D"/>
    <w:rsid w:val="004C13C4"/>
    <w:rsid w:val="004D6F49"/>
    <w:rsid w:val="00506634"/>
    <w:rsid w:val="005866DD"/>
    <w:rsid w:val="00A50711"/>
    <w:rsid w:val="00A74942"/>
    <w:rsid w:val="00B13CBC"/>
    <w:rsid w:val="00C41450"/>
    <w:rsid w:val="00CD1140"/>
    <w:rsid w:val="00D15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7E1F"/>
  <w15:chartTrackingRefBased/>
  <w15:docId w15:val="{E9F3812D-2B4B-4229-A9CE-A4006057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711"/>
    <w:pPr>
      <w:ind w:left="720"/>
      <w:contextualSpacing/>
    </w:pPr>
  </w:style>
  <w:style w:type="character" w:styleId="Hyperlink">
    <w:name w:val="Hyperlink"/>
    <w:uiPriority w:val="99"/>
    <w:unhideWhenUsed/>
    <w:rsid w:val="00A50711"/>
    <w:rPr>
      <w:color w:val="0000FF"/>
      <w:u w:val="single"/>
    </w:rPr>
  </w:style>
  <w:style w:type="paragraph" w:styleId="z-TopofForm">
    <w:name w:val="HTML Top of Form"/>
    <w:basedOn w:val="Normal"/>
    <w:next w:val="Normal"/>
    <w:link w:val="z-TopofFormChar"/>
    <w:hidden/>
    <w:uiPriority w:val="99"/>
    <w:semiHidden/>
    <w:unhideWhenUsed/>
    <w:rsid w:val="00A7494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7494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7494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74942"/>
    <w:rPr>
      <w:rFonts w:ascii="Arial" w:hAnsi="Arial" w:cs="Arial"/>
      <w:vanish/>
      <w:sz w:val="16"/>
      <w:szCs w:val="16"/>
    </w:rPr>
  </w:style>
  <w:style w:type="paragraph" w:styleId="NormalWeb">
    <w:name w:val="Normal (Web)"/>
    <w:basedOn w:val="Normal"/>
    <w:uiPriority w:val="99"/>
    <w:semiHidden/>
    <w:unhideWhenUsed/>
    <w:rsid w:val="001A2DD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9719">
      <w:bodyDiv w:val="1"/>
      <w:marLeft w:val="0"/>
      <w:marRight w:val="0"/>
      <w:marTop w:val="0"/>
      <w:marBottom w:val="0"/>
      <w:divBdr>
        <w:top w:val="none" w:sz="0" w:space="0" w:color="auto"/>
        <w:left w:val="none" w:sz="0" w:space="0" w:color="auto"/>
        <w:bottom w:val="none" w:sz="0" w:space="0" w:color="auto"/>
        <w:right w:val="none" w:sz="0" w:space="0" w:color="auto"/>
      </w:divBdr>
    </w:div>
    <w:div w:id="938755674">
      <w:bodyDiv w:val="1"/>
      <w:marLeft w:val="0"/>
      <w:marRight w:val="0"/>
      <w:marTop w:val="0"/>
      <w:marBottom w:val="0"/>
      <w:divBdr>
        <w:top w:val="none" w:sz="0" w:space="0" w:color="auto"/>
        <w:left w:val="none" w:sz="0" w:space="0" w:color="auto"/>
        <w:bottom w:val="none" w:sz="0" w:space="0" w:color="auto"/>
        <w:right w:val="none" w:sz="0" w:space="0" w:color="auto"/>
      </w:divBdr>
      <w:divsChild>
        <w:div w:id="942491384">
          <w:marLeft w:val="0"/>
          <w:marRight w:val="0"/>
          <w:marTop w:val="240"/>
          <w:marBottom w:val="0"/>
          <w:divBdr>
            <w:top w:val="none" w:sz="0" w:space="0" w:color="auto"/>
            <w:left w:val="none" w:sz="0" w:space="0" w:color="auto"/>
            <w:bottom w:val="none" w:sz="0" w:space="0" w:color="auto"/>
            <w:right w:val="none" w:sz="0" w:space="0" w:color="auto"/>
          </w:divBdr>
          <w:divsChild>
            <w:div w:id="616107441">
              <w:marLeft w:val="-225"/>
              <w:marRight w:val="-225"/>
              <w:marTop w:val="0"/>
              <w:marBottom w:val="0"/>
              <w:divBdr>
                <w:top w:val="none" w:sz="0" w:space="0" w:color="auto"/>
                <w:left w:val="none" w:sz="0" w:space="0" w:color="auto"/>
                <w:bottom w:val="none" w:sz="0" w:space="0" w:color="auto"/>
                <w:right w:val="none" w:sz="0" w:space="0" w:color="auto"/>
              </w:divBdr>
              <w:divsChild>
                <w:div w:id="482088896">
                  <w:marLeft w:val="0"/>
                  <w:marRight w:val="0"/>
                  <w:marTop w:val="0"/>
                  <w:marBottom w:val="225"/>
                  <w:divBdr>
                    <w:top w:val="none" w:sz="0" w:space="0" w:color="auto"/>
                    <w:left w:val="none" w:sz="0" w:space="0" w:color="auto"/>
                    <w:bottom w:val="none" w:sz="0" w:space="0" w:color="auto"/>
                    <w:right w:val="none" w:sz="0" w:space="0" w:color="auto"/>
                  </w:divBdr>
                  <w:divsChild>
                    <w:div w:id="2007508845">
                      <w:marLeft w:val="0"/>
                      <w:marRight w:val="0"/>
                      <w:marTop w:val="0"/>
                      <w:marBottom w:val="0"/>
                      <w:divBdr>
                        <w:top w:val="none" w:sz="0" w:space="0" w:color="auto"/>
                        <w:left w:val="none" w:sz="0" w:space="0" w:color="auto"/>
                        <w:bottom w:val="none" w:sz="0" w:space="0" w:color="auto"/>
                        <w:right w:val="none" w:sz="0" w:space="0" w:color="auto"/>
                      </w:divBdr>
                      <w:divsChild>
                        <w:div w:id="1591935129">
                          <w:marLeft w:val="-225"/>
                          <w:marRight w:val="-225"/>
                          <w:marTop w:val="0"/>
                          <w:marBottom w:val="0"/>
                          <w:divBdr>
                            <w:top w:val="none" w:sz="0" w:space="0" w:color="auto"/>
                            <w:left w:val="none" w:sz="0" w:space="0" w:color="auto"/>
                            <w:bottom w:val="none" w:sz="0" w:space="0" w:color="auto"/>
                            <w:right w:val="none" w:sz="0" w:space="0" w:color="auto"/>
                          </w:divBdr>
                          <w:divsChild>
                            <w:div w:id="1700277757">
                              <w:marLeft w:val="0"/>
                              <w:marRight w:val="0"/>
                              <w:marTop w:val="0"/>
                              <w:marBottom w:val="225"/>
                              <w:divBdr>
                                <w:top w:val="none" w:sz="0" w:space="0" w:color="auto"/>
                                <w:left w:val="none" w:sz="0" w:space="0" w:color="auto"/>
                                <w:bottom w:val="none" w:sz="0" w:space="0" w:color="auto"/>
                                <w:right w:val="none" w:sz="0" w:space="0" w:color="auto"/>
                              </w:divBdr>
                            </w:div>
                            <w:div w:id="530266459">
                              <w:marLeft w:val="0"/>
                              <w:marRight w:val="0"/>
                              <w:marTop w:val="0"/>
                              <w:marBottom w:val="0"/>
                              <w:divBdr>
                                <w:top w:val="none" w:sz="0" w:space="0" w:color="auto"/>
                                <w:left w:val="none" w:sz="0" w:space="0" w:color="auto"/>
                                <w:bottom w:val="none" w:sz="0" w:space="0" w:color="auto"/>
                                <w:right w:val="none" w:sz="0" w:space="0" w:color="auto"/>
                              </w:divBdr>
                              <w:divsChild>
                                <w:div w:id="1036276986">
                                  <w:marLeft w:val="0"/>
                                  <w:marRight w:val="0"/>
                                  <w:marTop w:val="0"/>
                                  <w:marBottom w:val="0"/>
                                  <w:divBdr>
                                    <w:top w:val="none" w:sz="0" w:space="0" w:color="auto"/>
                                    <w:left w:val="none" w:sz="0" w:space="0" w:color="auto"/>
                                    <w:bottom w:val="none" w:sz="0" w:space="0" w:color="auto"/>
                                    <w:right w:val="none" w:sz="0" w:space="0" w:color="auto"/>
                                  </w:divBdr>
                                  <w:divsChild>
                                    <w:div w:id="2092047810">
                                      <w:marLeft w:val="-225"/>
                                      <w:marRight w:val="-225"/>
                                      <w:marTop w:val="0"/>
                                      <w:marBottom w:val="0"/>
                                      <w:divBdr>
                                        <w:top w:val="none" w:sz="0" w:space="0" w:color="auto"/>
                                        <w:left w:val="none" w:sz="0" w:space="0" w:color="auto"/>
                                        <w:bottom w:val="none" w:sz="0" w:space="0" w:color="auto"/>
                                        <w:right w:val="none" w:sz="0" w:space="0" w:color="auto"/>
                                      </w:divBdr>
                                      <w:divsChild>
                                        <w:div w:id="6261632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2776595">
                                  <w:marLeft w:val="0"/>
                                  <w:marRight w:val="0"/>
                                  <w:marTop w:val="0"/>
                                  <w:marBottom w:val="0"/>
                                  <w:divBdr>
                                    <w:top w:val="none" w:sz="0" w:space="0" w:color="auto"/>
                                    <w:left w:val="none" w:sz="0" w:space="0" w:color="auto"/>
                                    <w:bottom w:val="none" w:sz="0" w:space="0" w:color="auto"/>
                                    <w:right w:val="none" w:sz="0" w:space="0" w:color="auto"/>
                                  </w:divBdr>
                                  <w:divsChild>
                                    <w:div w:id="640304911">
                                      <w:marLeft w:val="-225"/>
                                      <w:marRight w:val="-225"/>
                                      <w:marTop w:val="0"/>
                                      <w:marBottom w:val="0"/>
                                      <w:divBdr>
                                        <w:top w:val="none" w:sz="0" w:space="0" w:color="auto"/>
                                        <w:left w:val="none" w:sz="0" w:space="0" w:color="auto"/>
                                        <w:bottom w:val="none" w:sz="0" w:space="0" w:color="auto"/>
                                        <w:right w:val="none" w:sz="0" w:space="0" w:color="auto"/>
                                      </w:divBdr>
                                      <w:divsChild>
                                        <w:div w:id="274531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09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tdp.co.uk/product-category/seats-and-bench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Watling</dc:creator>
  <cp:keywords/>
  <dc:description/>
  <cp:lastModifiedBy>Lorraine Watling</cp:lastModifiedBy>
  <cp:revision>6</cp:revision>
  <cp:lastPrinted>2021-11-08T09:17:00Z</cp:lastPrinted>
  <dcterms:created xsi:type="dcterms:W3CDTF">2021-11-07T20:36:00Z</dcterms:created>
  <dcterms:modified xsi:type="dcterms:W3CDTF">2021-11-08T09:17:00Z</dcterms:modified>
</cp:coreProperties>
</file>