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85632B1" w:rsidR="00D85D82" w:rsidRDefault="00D85D82">
      <w:pPr>
        <w:rPr>
          <w:sz w:val="24"/>
          <w:szCs w:val="24"/>
        </w:rPr>
      </w:pPr>
    </w:p>
    <w:p w14:paraId="00000003" w14:textId="77777777" w:rsidR="00D85D82" w:rsidRDefault="00210745">
      <w:pPr>
        <w:ind w:right="113"/>
        <w:jc w:val="center"/>
        <w:rPr>
          <w:sz w:val="28"/>
          <w:szCs w:val="28"/>
          <w:u w:val="single"/>
        </w:rPr>
      </w:pPr>
      <w:r>
        <w:rPr>
          <w:b/>
          <w:sz w:val="28"/>
          <w:szCs w:val="28"/>
          <w:u w:val="single"/>
        </w:rPr>
        <w:t>Treasury &amp; Investment Policy</w:t>
      </w:r>
    </w:p>
    <w:p w14:paraId="00000004" w14:textId="77777777" w:rsidR="00D85D82" w:rsidRDefault="00D85D82">
      <w:pPr>
        <w:rPr>
          <w:sz w:val="24"/>
          <w:szCs w:val="24"/>
        </w:rPr>
      </w:pPr>
      <w:bookmarkStart w:id="0" w:name="_gjdgxs" w:colFirst="0" w:colLast="0"/>
      <w:bookmarkEnd w:id="0"/>
    </w:p>
    <w:p w14:paraId="00000005" w14:textId="77777777" w:rsidR="00D85D82" w:rsidRDefault="00210745">
      <w:pPr>
        <w:pStyle w:val="Heading1"/>
        <w:numPr>
          <w:ilvl w:val="0"/>
          <w:numId w:val="1"/>
        </w:numPr>
        <w:spacing w:after="120"/>
        <w:rPr>
          <w:rFonts w:ascii="Calibri" w:eastAsia="Calibri" w:hAnsi="Calibri" w:cs="Calibri"/>
        </w:rPr>
      </w:pPr>
      <w:r>
        <w:rPr>
          <w:rFonts w:ascii="Calibri" w:eastAsia="Calibri" w:hAnsi="Calibri" w:cs="Calibri"/>
        </w:rPr>
        <w:t>Policy Background</w:t>
      </w:r>
    </w:p>
    <w:p w14:paraId="00000006" w14:textId="49012E16" w:rsidR="00D85D82" w:rsidRDefault="00210745">
      <w:pPr>
        <w:keepNext/>
        <w:numPr>
          <w:ilvl w:val="1"/>
          <w:numId w:val="1"/>
        </w:numPr>
        <w:pBdr>
          <w:top w:val="nil"/>
          <w:left w:val="nil"/>
          <w:bottom w:val="nil"/>
          <w:right w:val="nil"/>
          <w:between w:val="nil"/>
        </w:pBdr>
        <w:spacing w:after="120"/>
        <w:rPr>
          <w:color w:val="000000"/>
          <w:sz w:val="24"/>
          <w:szCs w:val="24"/>
        </w:rPr>
      </w:pPr>
      <w:r>
        <w:rPr>
          <w:sz w:val="24"/>
          <w:szCs w:val="24"/>
        </w:rPr>
        <w:t>Drayton (Abingdon) Parish C</w:t>
      </w:r>
      <w:r>
        <w:rPr>
          <w:color w:val="000000"/>
          <w:sz w:val="24"/>
          <w:szCs w:val="24"/>
        </w:rPr>
        <w:t>ouncil’s treasury and investment policy and its associated strategy are conducted in accordance with:</w:t>
      </w:r>
    </w:p>
    <w:p w14:paraId="00000007" w14:textId="77777777" w:rsidR="00D85D82" w:rsidRDefault="00210745">
      <w:pPr>
        <w:keepNext/>
        <w:numPr>
          <w:ilvl w:val="0"/>
          <w:numId w:val="3"/>
        </w:numPr>
        <w:pBdr>
          <w:top w:val="nil"/>
          <w:left w:val="nil"/>
          <w:bottom w:val="nil"/>
          <w:right w:val="nil"/>
          <w:between w:val="nil"/>
        </w:pBdr>
        <w:spacing w:after="120"/>
        <w:rPr>
          <w:color w:val="000000"/>
          <w:sz w:val="24"/>
          <w:szCs w:val="24"/>
        </w:rPr>
      </w:pPr>
      <w:r>
        <w:rPr>
          <w:color w:val="000000"/>
          <w:sz w:val="24"/>
          <w:szCs w:val="24"/>
        </w:rPr>
        <w:t xml:space="preserve">The Local Government Act 2003 (the Act) and supporting regulations. This requires the Council to prepare an Annual Investment Strategy which sets out the Council’s policies for managing its investments and for giving priority to the security and liquidity of those investments. </w:t>
      </w:r>
    </w:p>
    <w:p w14:paraId="00000008" w14:textId="77777777" w:rsidR="00D85D82" w:rsidRDefault="00210745">
      <w:pPr>
        <w:keepNext/>
        <w:numPr>
          <w:ilvl w:val="0"/>
          <w:numId w:val="3"/>
        </w:numPr>
        <w:pBdr>
          <w:top w:val="nil"/>
          <w:left w:val="nil"/>
          <w:bottom w:val="nil"/>
          <w:right w:val="nil"/>
          <w:between w:val="nil"/>
        </w:pBdr>
        <w:spacing w:after="120"/>
        <w:rPr>
          <w:color w:val="000000"/>
          <w:sz w:val="24"/>
          <w:szCs w:val="24"/>
        </w:rPr>
      </w:pPr>
      <w:r>
        <w:rPr>
          <w:color w:val="000000"/>
          <w:sz w:val="24"/>
          <w:szCs w:val="24"/>
        </w:rPr>
        <w:t>The statutory guidance on local government investments (issued subsequent to the Act) which requires the production of an Annual Investment Strategy and gives guidance on how this should be completed.</w:t>
      </w:r>
    </w:p>
    <w:p w14:paraId="00000009" w14:textId="1B9D13D4" w:rsidR="00D85D82" w:rsidRDefault="00210745">
      <w:pPr>
        <w:keepNext/>
        <w:numPr>
          <w:ilvl w:val="1"/>
          <w:numId w:val="1"/>
        </w:numPr>
        <w:pBdr>
          <w:top w:val="nil"/>
          <w:left w:val="nil"/>
          <w:bottom w:val="nil"/>
          <w:right w:val="nil"/>
          <w:between w:val="nil"/>
        </w:pBdr>
        <w:spacing w:after="120"/>
        <w:rPr>
          <w:color w:val="000000"/>
          <w:sz w:val="24"/>
          <w:szCs w:val="24"/>
        </w:rPr>
      </w:pPr>
      <w:r>
        <w:rPr>
          <w:color w:val="000000"/>
          <w:sz w:val="24"/>
          <w:szCs w:val="24"/>
        </w:rPr>
        <w:t xml:space="preserve">It is uncommon for a town council to hold investments other than in the form of easily accessible bank deposits or other short-term savings accounts. These are often used to maximise income from cash balances during the financial year. </w:t>
      </w:r>
    </w:p>
    <w:p w14:paraId="0000000A" w14:textId="77777777" w:rsidR="00D85D82" w:rsidRDefault="00210745">
      <w:pPr>
        <w:keepNext/>
        <w:numPr>
          <w:ilvl w:val="1"/>
          <w:numId w:val="1"/>
        </w:numPr>
        <w:pBdr>
          <w:top w:val="nil"/>
          <w:left w:val="nil"/>
          <w:bottom w:val="nil"/>
          <w:right w:val="nil"/>
          <w:between w:val="nil"/>
        </w:pBdr>
        <w:spacing w:after="120"/>
        <w:rPr>
          <w:color w:val="000000"/>
          <w:sz w:val="24"/>
          <w:szCs w:val="24"/>
        </w:rPr>
      </w:pPr>
      <w:r>
        <w:rPr>
          <w:color w:val="000000"/>
          <w:sz w:val="24"/>
          <w:szCs w:val="24"/>
        </w:rPr>
        <w:t xml:space="preserve">The legislation and associated guidance is optional for parish councils where investments are not expected to exceed £100,000 and no action is required below £10,000.  However, for Councils where the sums involved exceed £100,000, the guidance is mandatory. </w:t>
      </w:r>
    </w:p>
    <w:p w14:paraId="0000000B" w14:textId="77777777" w:rsidR="00D85D82" w:rsidRDefault="00210745">
      <w:pPr>
        <w:pStyle w:val="Heading1"/>
        <w:numPr>
          <w:ilvl w:val="0"/>
          <w:numId w:val="1"/>
        </w:numPr>
        <w:spacing w:after="120"/>
        <w:rPr>
          <w:rFonts w:ascii="Calibri" w:eastAsia="Calibri" w:hAnsi="Calibri" w:cs="Calibri"/>
        </w:rPr>
      </w:pPr>
      <w:r>
        <w:rPr>
          <w:rFonts w:ascii="Calibri" w:eastAsia="Calibri" w:hAnsi="Calibri" w:cs="Calibri"/>
        </w:rPr>
        <w:t>Definitions</w:t>
      </w:r>
    </w:p>
    <w:p w14:paraId="0000000C"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 xml:space="preserve">Investments – all investments of more than 12 months in duration.  This is treated as capital and all sums involved must be used for capital expenditure when the investment period ends. </w:t>
      </w:r>
    </w:p>
    <w:p w14:paraId="0000000D"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Treasury – all cash deposits held in bank accounts which includes bonds of up to 12 months in duration.</w:t>
      </w:r>
    </w:p>
    <w:p w14:paraId="0000000E" w14:textId="77777777" w:rsidR="00D85D82" w:rsidRDefault="00210745">
      <w:pPr>
        <w:pStyle w:val="Heading1"/>
        <w:numPr>
          <w:ilvl w:val="0"/>
          <w:numId w:val="1"/>
        </w:numPr>
        <w:spacing w:after="120"/>
        <w:rPr>
          <w:rFonts w:ascii="Calibri" w:eastAsia="Calibri" w:hAnsi="Calibri" w:cs="Calibri"/>
        </w:rPr>
      </w:pPr>
      <w:r>
        <w:rPr>
          <w:rFonts w:ascii="Calibri" w:eastAsia="Calibri" w:hAnsi="Calibri" w:cs="Calibri"/>
        </w:rPr>
        <w:t xml:space="preserve">Policy Objectives </w:t>
      </w:r>
    </w:p>
    <w:p w14:paraId="0000000F" w14:textId="77777777" w:rsidR="00D85D82" w:rsidRDefault="00210745">
      <w:pPr>
        <w:keepNext/>
        <w:numPr>
          <w:ilvl w:val="1"/>
          <w:numId w:val="1"/>
        </w:numPr>
        <w:pBdr>
          <w:top w:val="nil"/>
          <w:left w:val="nil"/>
          <w:bottom w:val="nil"/>
          <w:right w:val="nil"/>
          <w:between w:val="nil"/>
        </w:pBdr>
        <w:spacing w:after="120"/>
        <w:rPr>
          <w:color w:val="000000"/>
          <w:sz w:val="24"/>
          <w:szCs w:val="24"/>
        </w:rPr>
      </w:pPr>
      <w:r>
        <w:rPr>
          <w:color w:val="000000"/>
          <w:sz w:val="24"/>
          <w:szCs w:val="24"/>
        </w:rPr>
        <w:t>The overriding policy objectives are:</w:t>
      </w:r>
    </w:p>
    <w:p w14:paraId="00000010" w14:textId="77777777" w:rsidR="00D85D82" w:rsidRDefault="00210745">
      <w:pPr>
        <w:keepNext/>
        <w:numPr>
          <w:ilvl w:val="0"/>
          <w:numId w:val="4"/>
        </w:numPr>
        <w:pBdr>
          <w:top w:val="nil"/>
          <w:left w:val="nil"/>
          <w:bottom w:val="nil"/>
          <w:right w:val="nil"/>
          <w:between w:val="nil"/>
        </w:pBdr>
        <w:spacing w:after="120"/>
        <w:rPr>
          <w:color w:val="000000"/>
          <w:sz w:val="24"/>
          <w:szCs w:val="24"/>
        </w:rPr>
      </w:pPr>
      <w:r>
        <w:rPr>
          <w:color w:val="000000"/>
          <w:sz w:val="24"/>
          <w:szCs w:val="24"/>
        </w:rPr>
        <w:t>To invest prudently to ensure the security of the principal sums.</w:t>
      </w:r>
    </w:p>
    <w:p w14:paraId="00000011" w14:textId="77777777" w:rsidR="00D85D82" w:rsidRDefault="00210745">
      <w:pPr>
        <w:keepNext/>
        <w:numPr>
          <w:ilvl w:val="0"/>
          <w:numId w:val="4"/>
        </w:numPr>
        <w:pBdr>
          <w:top w:val="nil"/>
          <w:left w:val="nil"/>
          <w:bottom w:val="nil"/>
          <w:right w:val="nil"/>
          <w:between w:val="nil"/>
        </w:pBdr>
        <w:spacing w:after="120"/>
        <w:rPr>
          <w:color w:val="000000"/>
          <w:sz w:val="24"/>
          <w:szCs w:val="24"/>
        </w:rPr>
      </w:pPr>
      <w:r>
        <w:rPr>
          <w:color w:val="000000"/>
          <w:sz w:val="24"/>
          <w:szCs w:val="24"/>
        </w:rPr>
        <w:t>To maintain liquidity in the portfolio to meet the council’s spending plans.</w:t>
      </w:r>
    </w:p>
    <w:p w14:paraId="00000012" w14:textId="77777777" w:rsidR="00D85D82" w:rsidRDefault="00210745">
      <w:pPr>
        <w:keepNext/>
        <w:numPr>
          <w:ilvl w:val="0"/>
          <w:numId w:val="4"/>
        </w:numPr>
        <w:pBdr>
          <w:top w:val="nil"/>
          <w:left w:val="nil"/>
          <w:bottom w:val="nil"/>
          <w:right w:val="nil"/>
          <w:between w:val="nil"/>
        </w:pBdr>
        <w:spacing w:after="120"/>
        <w:rPr>
          <w:color w:val="000000"/>
          <w:sz w:val="24"/>
          <w:szCs w:val="24"/>
        </w:rPr>
      </w:pPr>
      <w:r>
        <w:rPr>
          <w:color w:val="000000"/>
          <w:sz w:val="24"/>
          <w:szCs w:val="24"/>
        </w:rPr>
        <w:t xml:space="preserve">To mitigate risk.  </w:t>
      </w:r>
    </w:p>
    <w:p w14:paraId="00000013" w14:textId="77777777" w:rsidR="00D85D82" w:rsidRDefault="00210745">
      <w:pPr>
        <w:keepNext/>
        <w:numPr>
          <w:ilvl w:val="0"/>
          <w:numId w:val="4"/>
        </w:numPr>
        <w:pBdr>
          <w:top w:val="nil"/>
          <w:left w:val="nil"/>
          <w:bottom w:val="nil"/>
          <w:right w:val="nil"/>
          <w:between w:val="nil"/>
        </w:pBdr>
        <w:spacing w:after="120"/>
        <w:rPr>
          <w:color w:val="000000"/>
          <w:sz w:val="24"/>
          <w:szCs w:val="24"/>
        </w:rPr>
      </w:pPr>
      <w:r>
        <w:rPr>
          <w:color w:val="000000"/>
          <w:sz w:val="24"/>
          <w:szCs w:val="24"/>
        </w:rPr>
        <w:t>To seek the optimum returns available whilst remaining consistent with the proper levels of security and liquidity.</w:t>
      </w:r>
    </w:p>
    <w:p w14:paraId="00000014"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15"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bookmarkStart w:id="1" w:name="_1fob9te" w:colFirst="0" w:colLast="0"/>
      <w:bookmarkEnd w:id="1"/>
    </w:p>
    <w:p w14:paraId="00000016" w14:textId="77777777" w:rsidR="00D85D82" w:rsidRDefault="00210745">
      <w:pPr>
        <w:pStyle w:val="Heading1"/>
        <w:numPr>
          <w:ilvl w:val="0"/>
          <w:numId w:val="1"/>
        </w:numPr>
        <w:spacing w:after="120"/>
        <w:rPr>
          <w:rFonts w:ascii="Calibri" w:eastAsia="Calibri" w:hAnsi="Calibri" w:cs="Calibri"/>
        </w:rPr>
      </w:pPr>
      <w:r>
        <w:rPr>
          <w:rFonts w:ascii="Calibri" w:eastAsia="Calibri" w:hAnsi="Calibri" w:cs="Calibri"/>
        </w:rPr>
        <w:lastRenderedPageBreak/>
        <w:t>Investment Policy</w:t>
      </w:r>
    </w:p>
    <w:p w14:paraId="00000017"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sz w:val="24"/>
          <w:szCs w:val="24"/>
        </w:rPr>
        <w:t>The</w:t>
      </w:r>
      <w:r>
        <w:rPr>
          <w:color w:val="000000"/>
          <w:sz w:val="24"/>
          <w:szCs w:val="24"/>
        </w:rPr>
        <w:t xml:space="preserve"> Council will not hold funds other than in bank accounts or deposit bonds of 12 months or less in duration. </w:t>
      </w:r>
    </w:p>
    <w:p w14:paraId="00000018"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 xml:space="preserve">No investments will be made in stocks and shares </w:t>
      </w:r>
    </w:p>
    <w:p w14:paraId="00000019" w14:textId="77777777" w:rsidR="00D85D82" w:rsidRDefault="00210745">
      <w:pPr>
        <w:pStyle w:val="Heading1"/>
        <w:numPr>
          <w:ilvl w:val="0"/>
          <w:numId w:val="1"/>
        </w:numPr>
        <w:spacing w:after="120"/>
        <w:rPr>
          <w:rFonts w:ascii="Calibri" w:eastAsia="Calibri" w:hAnsi="Calibri" w:cs="Calibri"/>
        </w:rPr>
      </w:pPr>
      <w:r>
        <w:rPr>
          <w:rFonts w:ascii="Calibri" w:eastAsia="Calibri" w:hAnsi="Calibri" w:cs="Calibri"/>
        </w:rPr>
        <w:t xml:space="preserve">Treasury Policy </w:t>
      </w:r>
    </w:p>
    <w:p w14:paraId="0000001A"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sz w:val="24"/>
          <w:szCs w:val="24"/>
        </w:rPr>
        <w:t>The</w:t>
      </w:r>
      <w:r>
        <w:rPr>
          <w:color w:val="000000"/>
          <w:sz w:val="24"/>
          <w:szCs w:val="24"/>
        </w:rPr>
        <w:t xml:space="preserve"> Council will hold </w:t>
      </w:r>
      <w:r>
        <w:rPr>
          <w:b/>
          <w:color w:val="000000"/>
          <w:sz w:val="24"/>
          <w:szCs w:val="24"/>
        </w:rPr>
        <w:t>all</w:t>
      </w:r>
      <w:r>
        <w:rPr>
          <w:color w:val="000000"/>
          <w:sz w:val="24"/>
          <w:szCs w:val="24"/>
        </w:rPr>
        <w:t xml:space="preserve"> its funds as cash deposits in banks accounts or bonds or with CCLA Public Sector Depo</w:t>
      </w:r>
      <w:r>
        <w:rPr>
          <w:sz w:val="24"/>
          <w:szCs w:val="24"/>
        </w:rPr>
        <w:t>sit Fund</w:t>
      </w:r>
    </w:p>
    <w:p w14:paraId="0000001B"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A business account will be maintained with sufficient funds for day to day transactions and to receive the precept and business income.</w:t>
      </w:r>
    </w:p>
    <w:p w14:paraId="0000001C"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 xml:space="preserve">The maximum of the council’s cash deposits which may be held with one institution must not exceed 60%. </w:t>
      </w:r>
    </w:p>
    <w:p w14:paraId="0000001D" w14:textId="77777777" w:rsidR="00D85D82" w:rsidRDefault="00210745">
      <w:pPr>
        <w:pBdr>
          <w:top w:val="nil"/>
          <w:left w:val="nil"/>
          <w:bottom w:val="nil"/>
          <w:right w:val="nil"/>
          <w:between w:val="nil"/>
        </w:pBdr>
        <w:spacing w:after="240"/>
        <w:ind w:left="1248"/>
        <w:jc w:val="both"/>
        <w:rPr>
          <w:color w:val="000000"/>
          <w:sz w:val="24"/>
          <w:szCs w:val="24"/>
        </w:rPr>
      </w:pPr>
      <w:r>
        <w:rPr>
          <w:color w:val="000000"/>
          <w:sz w:val="24"/>
          <w:szCs w:val="24"/>
        </w:rPr>
        <w:t>Any exception to this limit must be approved by full council</w:t>
      </w:r>
    </w:p>
    <w:p w14:paraId="0000001E"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Full Council approval is required if a deposit is with an institution with which the council does not already hold an account.  The RFO has delegated authority to deposit funds with any of the council’s existing bankers and report this back to the council.</w:t>
      </w:r>
    </w:p>
    <w:p w14:paraId="0000001F" w14:textId="77777777" w:rsidR="00D85D82" w:rsidRDefault="00210745">
      <w:pPr>
        <w:keepNext/>
        <w:numPr>
          <w:ilvl w:val="1"/>
          <w:numId w:val="1"/>
        </w:numPr>
        <w:pBdr>
          <w:top w:val="nil"/>
          <w:left w:val="nil"/>
          <w:bottom w:val="nil"/>
          <w:right w:val="nil"/>
          <w:between w:val="nil"/>
        </w:pBdr>
        <w:spacing w:after="240"/>
        <w:rPr>
          <w:color w:val="000000"/>
          <w:sz w:val="24"/>
          <w:szCs w:val="24"/>
        </w:rPr>
      </w:pPr>
      <w:r>
        <w:rPr>
          <w:color w:val="000000"/>
          <w:sz w:val="24"/>
          <w:szCs w:val="24"/>
        </w:rPr>
        <w:t>A procedure for making a deposit can be found in Appendix A</w:t>
      </w:r>
    </w:p>
    <w:p w14:paraId="00000020"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1"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2"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3"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4"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5"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6"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7"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8"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9"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A"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B"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C" w14:textId="77777777" w:rsidR="00D85D82" w:rsidRDefault="00D85D82">
      <w:pPr>
        <w:pBdr>
          <w:top w:val="nil"/>
          <w:left w:val="nil"/>
          <w:bottom w:val="nil"/>
          <w:right w:val="nil"/>
          <w:between w:val="nil"/>
        </w:pBdr>
        <w:spacing w:after="240"/>
        <w:jc w:val="both"/>
        <w:rPr>
          <w:rFonts w:ascii="Times New Roman" w:eastAsia="Times New Roman" w:hAnsi="Times New Roman" w:cs="Times New Roman"/>
          <w:color w:val="000000"/>
          <w:sz w:val="24"/>
          <w:szCs w:val="24"/>
        </w:rPr>
      </w:pPr>
    </w:p>
    <w:p w14:paraId="0000002D" w14:textId="77777777" w:rsidR="00D85D82" w:rsidRDefault="00210745">
      <w:pPr>
        <w:pBdr>
          <w:top w:val="nil"/>
          <w:left w:val="nil"/>
          <w:bottom w:val="nil"/>
          <w:right w:val="nil"/>
          <w:between w:val="nil"/>
        </w:pBdr>
        <w:spacing w:after="2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Appendix A</w:t>
      </w:r>
    </w:p>
    <w:p w14:paraId="0000002E" w14:textId="77777777" w:rsidR="00D85D82" w:rsidRDefault="00D85D82"/>
    <w:p w14:paraId="0000002F" w14:textId="77777777" w:rsidR="00D85D82" w:rsidRDefault="00210745">
      <w:pPr>
        <w:rPr>
          <w:sz w:val="24"/>
          <w:szCs w:val="24"/>
        </w:rPr>
      </w:pPr>
      <w:r>
        <w:rPr>
          <w:b/>
          <w:sz w:val="24"/>
          <w:szCs w:val="24"/>
        </w:rPr>
        <w:t xml:space="preserve">Procedure for Deposits  </w:t>
      </w:r>
    </w:p>
    <w:p w14:paraId="00000030" w14:textId="77777777" w:rsidR="00D85D82" w:rsidRDefault="00D85D82">
      <w:pPr>
        <w:rPr>
          <w:sz w:val="24"/>
          <w:szCs w:val="24"/>
        </w:rPr>
      </w:pPr>
    </w:p>
    <w:p w14:paraId="00000031" w14:textId="77777777" w:rsidR="00D85D82" w:rsidRDefault="00210745">
      <w:pPr>
        <w:numPr>
          <w:ilvl w:val="0"/>
          <w:numId w:val="2"/>
        </w:numPr>
        <w:rPr>
          <w:sz w:val="24"/>
          <w:szCs w:val="24"/>
        </w:rPr>
      </w:pPr>
      <w:r>
        <w:rPr>
          <w:sz w:val="24"/>
          <w:szCs w:val="24"/>
        </w:rPr>
        <w:t>RFO to identify an appropriate deposit account or short-term bond with a financial institution that fits with the council’s treasury policy.  Any bonds should be capital sum guaranteed.</w:t>
      </w:r>
    </w:p>
    <w:p w14:paraId="00000032" w14:textId="77777777" w:rsidR="00D85D82" w:rsidRDefault="00210745">
      <w:pPr>
        <w:numPr>
          <w:ilvl w:val="0"/>
          <w:numId w:val="2"/>
        </w:numPr>
        <w:rPr>
          <w:sz w:val="24"/>
          <w:szCs w:val="24"/>
        </w:rPr>
      </w:pPr>
      <w:r>
        <w:rPr>
          <w:sz w:val="24"/>
          <w:szCs w:val="24"/>
        </w:rPr>
        <w:t xml:space="preserve">Approval of full council is sought if the deposit is with a financial institution not currently used by the council.  </w:t>
      </w:r>
    </w:p>
    <w:p w14:paraId="00000033" w14:textId="77777777" w:rsidR="00D85D82" w:rsidRDefault="00210745">
      <w:pPr>
        <w:numPr>
          <w:ilvl w:val="0"/>
          <w:numId w:val="2"/>
        </w:numPr>
        <w:rPr>
          <w:sz w:val="24"/>
          <w:szCs w:val="24"/>
        </w:rPr>
      </w:pPr>
      <w:r>
        <w:rPr>
          <w:sz w:val="24"/>
          <w:szCs w:val="24"/>
        </w:rPr>
        <w:t>The RFO actions the opening of the account and the setting up of the bank mandate for council members to sign in accordance with the financial regulations</w:t>
      </w:r>
    </w:p>
    <w:p w14:paraId="00000034" w14:textId="77777777" w:rsidR="00D85D82" w:rsidRDefault="00210745">
      <w:pPr>
        <w:numPr>
          <w:ilvl w:val="0"/>
          <w:numId w:val="2"/>
        </w:numPr>
        <w:rPr>
          <w:sz w:val="24"/>
          <w:szCs w:val="24"/>
        </w:rPr>
      </w:pPr>
      <w:r>
        <w:rPr>
          <w:sz w:val="24"/>
          <w:szCs w:val="24"/>
        </w:rPr>
        <w:t>The RFO actions the deposit/transfer of funds</w:t>
      </w:r>
    </w:p>
    <w:p w14:paraId="00000035" w14:textId="77777777" w:rsidR="00D85D82" w:rsidRDefault="00210745">
      <w:pPr>
        <w:numPr>
          <w:ilvl w:val="0"/>
          <w:numId w:val="2"/>
        </w:numPr>
        <w:rPr>
          <w:sz w:val="24"/>
          <w:szCs w:val="24"/>
        </w:rPr>
      </w:pPr>
      <w:r>
        <w:rPr>
          <w:sz w:val="24"/>
          <w:szCs w:val="24"/>
        </w:rPr>
        <w:t xml:space="preserve">The transfer/deposit is reported to the council </w:t>
      </w:r>
    </w:p>
    <w:p w14:paraId="00000036" w14:textId="77777777" w:rsidR="00D85D82" w:rsidRDefault="00210745">
      <w:pPr>
        <w:numPr>
          <w:ilvl w:val="0"/>
          <w:numId w:val="2"/>
        </w:numPr>
        <w:rPr>
          <w:sz w:val="24"/>
          <w:szCs w:val="24"/>
        </w:rPr>
      </w:pPr>
      <w:r>
        <w:rPr>
          <w:sz w:val="24"/>
          <w:szCs w:val="24"/>
        </w:rPr>
        <w:t>At the end of the fixed term the RFO has delegated authority to move the funds into another bond with the same financial institution or with another of the council’s bankers.</w:t>
      </w:r>
    </w:p>
    <w:p w14:paraId="00000037" w14:textId="77777777" w:rsidR="00D85D82" w:rsidRDefault="00D85D82">
      <w:pPr>
        <w:pBdr>
          <w:top w:val="nil"/>
          <w:left w:val="nil"/>
          <w:bottom w:val="nil"/>
          <w:right w:val="nil"/>
          <w:between w:val="nil"/>
        </w:pBdr>
        <w:spacing w:after="240"/>
        <w:ind w:left="568"/>
        <w:jc w:val="both"/>
        <w:rPr>
          <w:color w:val="000000"/>
          <w:sz w:val="24"/>
          <w:szCs w:val="24"/>
        </w:rPr>
      </w:pPr>
    </w:p>
    <w:p w14:paraId="00000038" w14:textId="77777777" w:rsidR="00D85D82" w:rsidRDefault="00D85D82">
      <w:pPr>
        <w:ind w:left="720"/>
        <w:rPr>
          <w:sz w:val="24"/>
          <w:szCs w:val="24"/>
        </w:rPr>
      </w:pPr>
    </w:p>
    <w:p w14:paraId="00000039" w14:textId="77777777" w:rsidR="00D85D82" w:rsidRDefault="00210745">
      <w:pPr>
        <w:spacing w:after="200" w:line="276" w:lineRule="auto"/>
        <w:rPr>
          <w:sz w:val="24"/>
          <w:szCs w:val="24"/>
        </w:rPr>
      </w:pPr>
      <w:r>
        <w:rPr>
          <w:b/>
          <w:sz w:val="24"/>
          <w:szCs w:val="24"/>
        </w:rPr>
        <w:t>Procedure for Bank Transfers</w:t>
      </w:r>
    </w:p>
    <w:p w14:paraId="0000003A" w14:textId="77777777" w:rsidR="00D85D82" w:rsidRDefault="00210745">
      <w:pPr>
        <w:numPr>
          <w:ilvl w:val="0"/>
          <w:numId w:val="5"/>
        </w:numPr>
      </w:pPr>
      <w:r>
        <w:rPr>
          <w:sz w:val="24"/>
          <w:szCs w:val="24"/>
        </w:rPr>
        <w:t>Delegated authority is given to the RFO to make transfers between the accounts of the same bank without prior approval of the council.</w:t>
      </w:r>
    </w:p>
    <w:p w14:paraId="0000003B" w14:textId="77777777" w:rsidR="00D85D82" w:rsidRDefault="00210745">
      <w:pPr>
        <w:numPr>
          <w:ilvl w:val="0"/>
          <w:numId w:val="5"/>
        </w:numPr>
      </w:pPr>
      <w:r>
        <w:rPr>
          <w:sz w:val="24"/>
          <w:szCs w:val="24"/>
        </w:rPr>
        <w:t>Transfers between banks will follow normal payment procedure as detailed in the financial regulations</w:t>
      </w:r>
    </w:p>
    <w:p w14:paraId="0000003C" w14:textId="77777777" w:rsidR="00D85D82" w:rsidRDefault="00210745">
      <w:pPr>
        <w:numPr>
          <w:ilvl w:val="0"/>
          <w:numId w:val="5"/>
        </w:numPr>
      </w:pPr>
      <w:r>
        <w:rPr>
          <w:sz w:val="24"/>
          <w:szCs w:val="24"/>
        </w:rPr>
        <w:t>Details of all transfers to be provided to the council with the monthly finance report.</w:t>
      </w:r>
    </w:p>
    <w:p w14:paraId="0000003D" w14:textId="77777777" w:rsidR="00D85D82" w:rsidRDefault="00D85D82">
      <w:pPr>
        <w:spacing w:after="200" w:line="276" w:lineRule="auto"/>
        <w:ind w:left="720"/>
      </w:pPr>
    </w:p>
    <w:p w14:paraId="0000003E" w14:textId="77777777" w:rsidR="00D85D82" w:rsidRDefault="00D85D82">
      <w:pPr>
        <w:spacing w:after="200" w:line="276" w:lineRule="auto"/>
        <w:ind w:left="720"/>
      </w:pPr>
    </w:p>
    <w:p w14:paraId="0000003F" w14:textId="77777777" w:rsidR="00D85D82" w:rsidRDefault="00D85D82">
      <w:pPr>
        <w:spacing w:after="200" w:line="276" w:lineRule="auto"/>
        <w:ind w:left="720"/>
      </w:pPr>
    </w:p>
    <w:p w14:paraId="00000040" w14:textId="250C4E25" w:rsidR="00D85D82" w:rsidRDefault="00210745">
      <w:pPr>
        <w:spacing w:after="200" w:line="276" w:lineRule="auto"/>
      </w:pPr>
      <w:r>
        <w:t xml:space="preserve">Adopted by Council </w:t>
      </w:r>
      <w:r w:rsidR="002A01DF">
        <w:t>08</w:t>
      </w:r>
      <w:r>
        <w:t>t</w:t>
      </w:r>
      <w:r w:rsidR="002A01DF">
        <w:t>h</w:t>
      </w:r>
      <w:r>
        <w:t xml:space="preserve"> </w:t>
      </w:r>
      <w:r w:rsidR="002A01DF">
        <w:t>March</w:t>
      </w:r>
      <w:r>
        <w:t xml:space="preserve"> 20</w:t>
      </w:r>
      <w:r w:rsidR="002A01DF">
        <w:t>22</w:t>
      </w:r>
      <w:r>
        <w:t xml:space="preserve">  Minute Ref:</w:t>
      </w:r>
      <w:r w:rsidR="007B011B">
        <w:t xml:space="preserve"> 48/2022 f)</w:t>
      </w:r>
      <w:bookmarkStart w:id="2" w:name="_GoBack"/>
      <w:bookmarkEnd w:id="2"/>
    </w:p>
    <w:p w14:paraId="00000041" w14:textId="6C9DEF86" w:rsidR="00D85D82" w:rsidRDefault="00210745">
      <w:pPr>
        <w:spacing w:after="200" w:line="276" w:lineRule="auto"/>
      </w:pPr>
      <w:r>
        <w:t xml:space="preserve">Next Review Date 1st </w:t>
      </w:r>
      <w:r w:rsidR="002A01DF">
        <w:t xml:space="preserve">March </w:t>
      </w:r>
      <w:r>
        <w:t>20</w:t>
      </w:r>
      <w:r w:rsidR="002A01DF">
        <w:t>23</w:t>
      </w:r>
    </w:p>
    <w:p w14:paraId="00000042" w14:textId="77777777" w:rsidR="00D85D82" w:rsidRDefault="00D85D82">
      <w:pPr>
        <w:spacing w:after="200" w:line="276" w:lineRule="auto"/>
      </w:pPr>
    </w:p>
    <w:p w14:paraId="00000043" w14:textId="77777777" w:rsidR="00D85D82" w:rsidRDefault="00D85D82">
      <w:pPr>
        <w:spacing w:after="200" w:line="276" w:lineRule="auto"/>
      </w:pPr>
    </w:p>
    <w:p w14:paraId="00000044" w14:textId="77777777" w:rsidR="00D85D82" w:rsidRDefault="00D85D82">
      <w:pPr>
        <w:spacing w:after="200" w:line="276" w:lineRule="auto"/>
      </w:pPr>
    </w:p>
    <w:p w14:paraId="00000045" w14:textId="77777777" w:rsidR="00D85D82" w:rsidRDefault="00D85D82">
      <w:pPr>
        <w:spacing w:after="200" w:line="276" w:lineRule="auto"/>
      </w:pPr>
    </w:p>
    <w:p w14:paraId="00000046" w14:textId="77777777" w:rsidR="00D85D82" w:rsidRDefault="00D85D82">
      <w:pPr>
        <w:spacing w:after="200" w:line="276" w:lineRule="auto"/>
      </w:pPr>
    </w:p>
    <w:p w14:paraId="00000047" w14:textId="77777777" w:rsidR="00D85D82" w:rsidRDefault="00D85D82">
      <w:pPr>
        <w:spacing w:after="200" w:line="276" w:lineRule="auto"/>
      </w:pPr>
    </w:p>
    <w:p w14:paraId="00000048" w14:textId="77777777" w:rsidR="00D85D82" w:rsidRDefault="00D85D82">
      <w:pPr>
        <w:spacing w:after="200" w:line="276" w:lineRule="auto"/>
      </w:pPr>
    </w:p>
    <w:sectPr w:rsidR="00D85D82">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11B9" w14:textId="77777777" w:rsidR="00D124CD" w:rsidRDefault="00210745">
      <w:r>
        <w:separator/>
      </w:r>
    </w:p>
  </w:endnote>
  <w:endnote w:type="continuationSeparator" w:id="0">
    <w:p w14:paraId="0DAE562E" w14:textId="77777777" w:rsidR="00D124CD" w:rsidRDefault="0021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D85D82" w:rsidRDefault="00D85D8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EAB6" w14:textId="77777777" w:rsidR="00D124CD" w:rsidRDefault="00210745">
      <w:r>
        <w:separator/>
      </w:r>
    </w:p>
  </w:footnote>
  <w:footnote w:type="continuationSeparator" w:id="0">
    <w:p w14:paraId="4408A0B0" w14:textId="77777777" w:rsidR="00D124CD" w:rsidRDefault="0021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D85D82" w:rsidRDefault="00D85D8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43B"/>
    <w:multiLevelType w:val="hybridMultilevel"/>
    <w:tmpl w:val="E97CFFD8"/>
    <w:lvl w:ilvl="0" w:tplc="C8D8AEB6">
      <w:start w:val="1"/>
      <w:numFmt w:val="lowerRoman"/>
      <w:lvlText w:val="%1)"/>
      <w:lvlJc w:val="left"/>
      <w:pPr>
        <w:ind w:left="1786" w:hanging="720"/>
      </w:pPr>
    </w:lvl>
    <w:lvl w:ilvl="1" w:tplc="31C25EA0">
      <w:start w:val="1"/>
      <w:numFmt w:val="lowerLetter"/>
      <w:lvlText w:val="%2."/>
      <w:lvlJc w:val="left"/>
      <w:pPr>
        <w:ind w:left="2146" w:hanging="360"/>
      </w:pPr>
    </w:lvl>
    <w:lvl w:ilvl="2" w:tplc="8D8A6EBA">
      <w:start w:val="1"/>
      <w:numFmt w:val="lowerRoman"/>
      <w:lvlText w:val="%3."/>
      <w:lvlJc w:val="right"/>
      <w:pPr>
        <w:ind w:left="2866" w:hanging="180"/>
      </w:pPr>
    </w:lvl>
    <w:lvl w:ilvl="3" w:tplc="60A65D84">
      <w:start w:val="1"/>
      <w:numFmt w:val="decimal"/>
      <w:lvlText w:val="%4."/>
      <w:lvlJc w:val="left"/>
      <w:pPr>
        <w:ind w:left="3586" w:hanging="360"/>
      </w:pPr>
    </w:lvl>
    <w:lvl w:ilvl="4" w:tplc="01EAE582">
      <w:start w:val="1"/>
      <w:numFmt w:val="lowerLetter"/>
      <w:lvlText w:val="%5."/>
      <w:lvlJc w:val="left"/>
      <w:pPr>
        <w:ind w:left="4306" w:hanging="360"/>
      </w:pPr>
    </w:lvl>
    <w:lvl w:ilvl="5" w:tplc="4B44EE54">
      <w:start w:val="1"/>
      <w:numFmt w:val="lowerRoman"/>
      <w:lvlText w:val="%6."/>
      <w:lvlJc w:val="right"/>
      <w:pPr>
        <w:ind w:left="5026" w:hanging="180"/>
      </w:pPr>
    </w:lvl>
    <w:lvl w:ilvl="6" w:tplc="95A6771C">
      <w:start w:val="1"/>
      <w:numFmt w:val="decimal"/>
      <w:lvlText w:val="%7."/>
      <w:lvlJc w:val="left"/>
      <w:pPr>
        <w:ind w:left="5746" w:hanging="360"/>
      </w:pPr>
    </w:lvl>
    <w:lvl w:ilvl="7" w:tplc="10C2360C">
      <w:start w:val="1"/>
      <w:numFmt w:val="lowerLetter"/>
      <w:lvlText w:val="%8."/>
      <w:lvlJc w:val="left"/>
      <w:pPr>
        <w:ind w:left="6466" w:hanging="360"/>
      </w:pPr>
    </w:lvl>
    <w:lvl w:ilvl="8" w:tplc="C504B3E0">
      <w:start w:val="1"/>
      <w:numFmt w:val="lowerRoman"/>
      <w:lvlText w:val="%9."/>
      <w:lvlJc w:val="right"/>
      <w:pPr>
        <w:ind w:left="7186" w:hanging="180"/>
      </w:pPr>
    </w:lvl>
  </w:abstractNum>
  <w:abstractNum w:abstractNumId="1" w15:restartNumberingAfterBreak="0">
    <w:nsid w:val="071E3EF5"/>
    <w:multiLevelType w:val="multilevel"/>
    <w:tmpl w:val="40323302"/>
    <w:lvl w:ilvl="0">
      <w:start w:val="1"/>
      <w:numFmt w:val="decimal"/>
      <w:lvlText w:val="%1."/>
      <w:lvlJc w:val="left"/>
      <w:pPr>
        <w:ind w:left="680" w:hanging="680"/>
      </w:pPr>
      <w:rPr>
        <w:u w:val="none"/>
      </w:rPr>
    </w:lvl>
    <w:lvl w:ilvl="1">
      <w:start w:val="1"/>
      <w:numFmt w:val="decimal"/>
      <w:lvlText w:val="%1.%2"/>
      <w:lvlJc w:val="left"/>
      <w:pPr>
        <w:ind w:left="1248" w:hanging="680"/>
      </w:pPr>
      <w:rPr>
        <w:rFonts w:ascii="Calibri" w:eastAsia="Calibri" w:hAnsi="Calibri" w:cs="Calibri"/>
      </w:rPr>
    </w:lvl>
    <w:lvl w:ilvl="2">
      <w:start w:val="1"/>
      <w:numFmt w:val="decimal"/>
      <w:lvlText w:val="%1.%2.%3"/>
      <w:lvlJc w:val="left"/>
      <w:pPr>
        <w:ind w:left="680" w:hanging="68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A84EB0"/>
    <w:multiLevelType w:val="hybridMultilevel"/>
    <w:tmpl w:val="EEF8225E"/>
    <w:lvl w:ilvl="0" w:tplc="F04EA5B4">
      <w:start w:val="1"/>
      <w:numFmt w:val="decimal"/>
      <w:lvlText w:val="%1."/>
      <w:lvlJc w:val="left"/>
      <w:pPr>
        <w:ind w:left="720" w:hanging="360"/>
      </w:pPr>
      <w:rPr>
        <w:sz w:val="24"/>
        <w:szCs w:val="24"/>
      </w:rPr>
    </w:lvl>
    <w:lvl w:ilvl="1" w:tplc="7B0AD016">
      <w:start w:val="1"/>
      <w:numFmt w:val="lowerLetter"/>
      <w:lvlText w:val="%2."/>
      <w:lvlJc w:val="left"/>
      <w:pPr>
        <w:ind w:left="1440" w:hanging="360"/>
      </w:pPr>
    </w:lvl>
    <w:lvl w:ilvl="2" w:tplc="58121B1A">
      <w:start w:val="1"/>
      <w:numFmt w:val="lowerRoman"/>
      <w:lvlText w:val="%3."/>
      <w:lvlJc w:val="right"/>
      <w:pPr>
        <w:ind w:left="2160" w:hanging="180"/>
      </w:pPr>
    </w:lvl>
    <w:lvl w:ilvl="3" w:tplc="0226E1E0">
      <w:start w:val="1"/>
      <w:numFmt w:val="decimal"/>
      <w:lvlText w:val="%4."/>
      <w:lvlJc w:val="left"/>
      <w:pPr>
        <w:ind w:left="2880" w:hanging="360"/>
      </w:pPr>
    </w:lvl>
    <w:lvl w:ilvl="4" w:tplc="F316532C">
      <w:start w:val="1"/>
      <w:numFmt w:val="lowerLetter"/>
      <w:lvlText w:val="%5."/>
      <w:lvlJc w:val="left"/>
      <w:pPr>
        <w:ind w:left="3600" w:hanging="360"/>
      </w:pPr>
    </w:lvl>
    <w:lvl w:ilvl="5" w:tplc="4E1AB43E">
      <w:start w:val="1"/>
      <w:numFmt w:val="lowerRoman"/>
      <w:lvlText w:val="%6."/>
      <w:lvlJc w:val="right"/>
      <w:pPr>
        <w:ind w:left="4320" w:hanging="180"/>
      </w:pPr>
    </w:lvl>
    <w:lvl w:ilvl="6" w:tplc="3AB0CCD8">
      <w:start w:val="1"/>
      <w:numFmt w:val="decimal"/>
      <w:lvlText w:val="%7."/>
      <w:lvlJc w:val="left"/>
      <w:pPr>
        <w:ind w:left="5040" w:hanging="360"/>
      </w:pPr>
    </w:lvl>
    <w:lvl w:ilvl="7" w:tplc="FB0456B6">
      <w:start w:val="1"/>
      <w:numFmt w:val="lowerLetter"/>
      <w:lvlText w:val="%8."/>
      <w:lvlJc w:val="left"/>
      <w:pPr>
        <w:ind w:left="5760" w:hanging="360"/>
      </w:pPr>
    </w:lvl>
    <w:lvl w:ilvl="8" w:tplc="102A850E">
      <w:start w:val="1"/>
      <w:numFmt w:val="lowerRoman"/>
      <w:lvlText w:val="%9."/>
      <w:lvlJc w:val="right"/>
      <w:pPr>
        <w:ind w:left="6480" w:hanging="180"/>
      </w:pPr>
    </w:lvl>
  </w:abstractNum>
  <w:abstractNum w:abstractNumId="3" w15:restartNumberingAfterBreak="0">
    <w:nsid w:val="148E3372"/>
    <w:multiLevelType w:val="hybridMultilevel"/>
    <w:tmpl w:val="B332F7C0"/>
    <w:lvl w:ilvl="0" w:tplc="20BAE1CE">
      <w:start w:val="1"/>
      <w:numFmt w:val="lowerRoman"/>
      <w:lvlText w:val="%1)"/>
      <w:lvlJc w:val="left"/>
      <w:pPr>
        <w:ind w:left="1760" w:hanging="720"/>
      </w:pPr>
    </w:lvl>
    <w:lvl w:ilvl="1" w:tplc="4962CCC2">
      <w:start w:val="1"/>
      <w:numFmt w:val="lowerLetter"/>
      <w:lvlText w:val="%2."/>
      <w:lvlJc w:val="left"/>
      <w:pPr>
        <w:ind w:left="1440" w:hanging="360"/>
      </w:pPr>
    </w:lvl>
    <w:lvl w:ilvl="2" w:tplc="EDE88AC6">
      <w:start w:val="1"/>
      <w:numFmt w:val="lowerRoman"/>
      <w:lvlText w:val="%3."/>
      <w:lvlJc w:val="right"/>
      <w:pPr>
        <w:ind w:left="2160" w:hanging="180"/>
      </w:pPr>
    </w:lvl>
    <w:lvl w:ilvl="3" w:tplc="513CEAFE">
      <w:start w:val="1"/>
      <w:numFmt w:val="decimal"/>
      <w:lvlText w:val="%4."/>
      <w:lvlJc w:val="left"/>
      <w:pPr>
        <w:ind w:left="2880" w:hanging="360"/>
      </w:pPr>
    </w:lvl>
    <w:lvl w:ilvl="4" w:tplc="DAEA072A">
      <w:start w:val="1"/>
      <w:numFmt w:val="lowerLetter"/>
      <w:lvlText w:val="%5."/>
      <w:lvlJc w:val="left"/>
      <w:pPr>
        <w:ind w:left="3600" w:hanging="360"/>
      </w:pPr>
    </w:lvl>
    <w:lvl w:ilvl="5" w:tplc="5332148E">
      <w:start w:val="1"/>
      <w:numFmt w:val="lowerRoman"/>
      <w:lvlText w:val="%6."/>
      <w:lvlJc w:val="right"/>
      <w:pPr>
        <w:ind w:left="4320" w:hanging="180"/>
      </w:pPr>
    </w:lvl>
    <w:lvl w:ilvl="6" w:tplc="F9443CC4">
      <w:start w:val="1"/>
      <w:numFmt w:val="decimal"/>
      <w:lvlText w:val="%7."/>
      <w:lvlJc w:val="left"/>
      <w:pPr>
        <w:ind w:left="5040" w:hanging="360"/>
      </w:pPr>
    </w:lvl>
    <w:lvl w:ilvl="7" w:tplc="83E6884C">
      <w:start w:val="1"/>
      <w:numFmt w:val="lowerLetter"/>
      <w:lvlText w:val="%8."/>
      <w:lvlJc w:val="left"/>
      <w:pPr>
        <w:ind w:left="5760" w:hanging="360"/>
      </w:pPr>
    </w:lvl>
    <w:lvl w:ilvl="8" w:tplc="45868594">
      <w:start w:val="1"/>
      <w:numFmt w:val="lowerRoman"/>
      <w:lvlText w:val="%9."/>
      <w:lvlJc w:val="right"/>
      <w:pPr>
        <w:ind w:left="6480" w:hanging="180"/>
      </w:pPr>
    </w:lvl>
  </w:abstractNum>
  <w:abstractNum w:abstractNumId="4" w15:restartNumberingAfterBreak="0">
    <w:nsid w:val="4D3B1276"/>
    <w:multiLevelType w:val="hybridMultilevel"/>
    <w:tmpl w:val="E222CDB8"/>
    <w:lvl w:ilvl="0" w:tplc="BB5C50C2">
      <w:start w:val="1"/>
      <w:numFmt w:val="decimal"/>
      <w:lvlText w:val="%1."/>
      <w:lvlJc w:val="left"/>
      <w:pPr>
        <w:ind w:left="720" w:hanging="360"/>
      </w:pPr>
      <w:rPr>
        <w:b w:val="0"/>
      </w:rPr>
    </w:lvl>
    <w:lvl w:ilvl="1" w:tplc="A234347A">
      <w:start w:val="1"/>
      <w:numFmt w:val="lowerLetter"/>
      <w:lvlText w:val="%2."/>
      <w:lvlJc w:val="left"/>
      <w:pPr>
        <w:ind w:left="1440" w:hanging="360"/>
      </w:pPr>
    </w:lvl>
    <w:lvl w:ilvl="2" w:tplc="A1525E82">
      <w:start w:val="1"/>
      <w:numFmt w:val="lowerRoman"/>
      <w:lvlText w:val="%3."/>
      <w:lvlJc w:val="right"/>
      <w:pPr>
        <w:ind w:left="2160" w:hanging="180"/>
      </w:pPr>
    </w:lvl>
    <w:lvl w:ilvl="3" w:tplc="31BEAD68">
      <w:start w:val="1"/>
      <w:numFmt w:val="decimal"/>
      <w:lvlText w:val="%4."/>
      <w:lvlJc w:val="left"/>
      <w:pPr>
        <w:ind w:left="2880" w:hanging="360"/>
      </w:pPr>
    </w:lvl>
    <w:lvl w:ilvl="4" w:tplc="F63AAB28">
      <w:start w:val="1"/>
      <w:numFmt w:val="lowerLetter"/>
      <w:lvlText w:val="%5."/>
      <w:lvlJc w:val="left"/>
      <w:pPr>
        <w:ind w:left="3600" w:hanging="360"/>
      </w:pPr>
    </w:lvl>
    <w:lvl w:ilvl="5" w:tplc="C71C3950">
      <w:start w:val="1"/>
      <w:numFmt w:val="lowerRoman"/>
      <w:lvlText w:val="%6."/>
      <w:lvlJc w:val="right"/>
      <w:pPr>
        <w:ind w:left="4320" w:hanging="180"/>
      </w:pPr>
    </w:lvl>
    <w:lvl w:ilvl="6" w:tplc="1ADCAF0A">
      <w:start w:val="1"/>
      <w:numFmt w:val="decimal"/>
      <w:lvlText w:val="%7."/>
      <w:lvlJc w:val="left"/>
      <w:pPr>
        <w:ind w:left="5040" w:hanging="360"/>
      </w:pPr>
    </w:lvl>
    <w:lvl w:ilvl="7" w:tplc="98A0A7B8">
      <w:start w:val="1"/>
      <w:numFmt w:val="lowerLetter"/>
      <w:lvlText w:val="%8."/>
      <w:lvlJc w:val="left"/>
      <w:pPr>
        <w:ind w:left="5760" w:hanging="360"/>
      </w:pPr>
    </w:lvl>
    <w:lvl w:ilvl="8" w:tplc="A64C5644">
      <w:start w:val="1"/>
      <w:numFmt w:val="lowerRoman"/>
      <w:lvlText w:val="%9."/>
      <w:lvlJc w:val="right"/>
      <w:pPr>
        <w:ind w:left="6480" w:hanging="180"/>
      </w:pPr>
    </w:lvl>
  </w:abstractNum>
  <w:abstractNum w:abstractNumId="5" w15:restartNumberingAfterBreak="0">
    <w:nsid w:val="6DD66BB7"/>
    <w:multiLevelType w:val="hybridMultilevel"/>
    <w:tmpl w:val="144864B8"/>
    <w:lvl w:ilvl="0" w:tplc="79BCA542">
      <w:numFmt w:val="bullet"/>
      <w:lvlText w:val=""/>
      <w:lvlJc w:val="left"/>
      <w:pPr>
        <w:ind w:left="720" w:hanging="360"/>
      </w:pPr>
      <w:rPr>
        <w:rFonts w:ascii="Symbol" w:hAnsi="Symbol"/>
      </w:rPr>
    </w:lvl>
    <w:lvl w:ilvl="1" w:tplc="4B846E74">
      <w:numFmt w:val="bullet"/>
      <w:lvlText w:val="o"/>
      <w:lvlJc w:val="left"/>
      <w:pPr>
        <w:ind w:left="1440" w:hanging="1080"/>
      </w:pPr>
      <w:rPr>
        <w:rFonts w:ascii="Courier New" w:hAnsi="Courier New"/>
      </w:rPr>
    </w:lvl>
    <w:lvl w:ilvl="2" w:tplc="D0C47D5E">
      <w:numFmt w:val="bullet"/>
      <w:lvlText w:val=""/>
      <w:lvlJc w:val="left"/>
      <w:pPr>
        <w:ind w:left="2160" w:hanging="1800"/>
      </w:pPr>
    </w:lvl>
    <w:lvl w:ilvl="3" w:tplc="FACC2A5E">
      <w:numFmt w:val="bullet"/>
      <w:lvlText w:val=""/>
      <w:lvlJc w:val="left"/>
      <w:pPr>
        <w:ind w:left="2880" w:hanging="2520"/>
      </w:pPr>
      <w:rPr>
        <w:rFonts w:ascii="Symbol" w:hAnsi="Symbol"/>
      </w:rPr>
    </w:lvl>
    <w:lvl w:ilvl="4" w:tplc="AF98CD7E">
      <w:numFmt w:val="bullet"/>
      <w:lvlText w:val="o"/>
      <w:lvlJc w:val="left"/>
      <w:pPr>
        <w:ind w:left="3600" w:hanging="3240"/>
      </w:pPr>
      <w:rPr>
        <w:rFonts w:ascii="Courier New" w:hAnsi="Courier New"/>
      </w:rPr>
    </w:lvl>
    <w:lvl w:ilvl="5" w:tplc="EC10AF9C">
      <w:numFmt w:val="bullet"/>
      <w:lvlText w:val=""/>
      <w:lvlJc w:val="left"/>
      <w:pPr>
        <w:ind w:left="4320" w:hanging="3960"/>
      </w:pPr>
    </w:lvl>
    <w:lvl w:ilvl="6" w:tplc="7C100EA8">
      <w:numFmt w:val="bullet"/>
      <w:lvlText w:val=""/>
      <w:lvlJc w:val="left"/>
      <w:pPr>
        <w:ind w:left="5040" w:hanging="4680"/>
      </w:pPr>
      <w:rPr>
        <w:rFonts w:ascii="Symbol" w:hAnsi="Symbol"/>
      </w:rPr>
    </w:lvl>
    <w:lvl w:ilvl="7" w:tplc="9746DAE2">
      <w:numFmt w:val="bullet"/>
      <w:lvlText w:val="o"/>
      <w:lvlJc w:val="left"/>
      <w:pPr>
        <w:ind w:left="5760" w:hanging="5400"/>
      </w:pPr>
      <w:rPr>
        <w:rFonts w:ascii="Courier New" w:hAnsi="Courier New"/>
      </w:rPr>
    </w:lvl>
    <w:lvl w:ilvl="8" w:tplc="CCDC87E2">
      <w:numFmt w:val="bullet"/>
      <w:lvlText w:val=""/>
      <w:lvlJc w:val="left"/>
      <w:pPr>
        <w:ind w:left="6480" w:hanging="61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D82"/>
    <w:rsid w:val="00210745"/>
    <w:rsid w:val="002A01DF"/>
    <w:rsid w:val="007B011B"/>
    <w:rsid w:val="009D6642"/>
    <w:rsid w:val="00B07C5E"/>
    <w:rsid w:val="00D124CD"/>
    <w:rsid w:val="00D8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EE79"/>
  <w15:docId w15:val="{5FB43BE7-42FA-4093-9AFA-4AE9F44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240"/>
      <w:ind w:left="680" w:hanging="680"/>
      <w:outlineLvl w:val="0"/>
    </w:pPr>
    <w:rPr>
      <w:rFonts w:ascii="Times New Roman" w:eastAsia="Times New Roman" w:hAnsi="Times New Roman" w:cs="Times New Roman"/>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240"/>
      <w:ind w:left="680" w:hanging="680"/>
      <w:outlineLvl w:val="2"/>
    </w:pPr>
    <w:rPr>
      <w:rFonts w:ascii="Times New Roman" w:eastAsia="Times New Roman" w:hAnsi="Times New Roman" w:cs="Times New Roman"/>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Watling</dc:creator>
  <cp:lastModifiedBy>Lorraine Watling</cp:lastModifiedBy>
  <cp:revision>6</cp:revision>
  <cp:lastPrinted>2022-05-16T19:27:00Z</cp:lastPrinted>
  <dcterms:created xsi:type="dcterms:W3CDTF">2022-02-23T18:16:00Z</dcterms:created>
  <dcterms:modified xsi:type="dcterms:W3CDTF">2022-05-16T19:27:00Z</dcterms:modified>
</cp:coreProperties>
</file>